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284C7"/>
          <w:sz w:val="32"/>
        </w:rPr>
        <w:t>BTP CONSTRUCTION FRANCE</w:t>
        <w:br/>
      </w:r>
    </w:p>
    <w:p>
      <w:pPr>
        <w:jc w:val="center"/>
      </w:pPr>
      <w:r>
        <w:rPr>
          <w:b/>
          <w:color w:val="64748B"/>
          <w:sz w:val="26"/>
        </w:rPr>
        <w:t>RÉPONSE À L'APPEL D'OFFRES</w:t>
        <w:br/>
      </w:r>
      <w:r>
        <w:rPr>
          <w:b/>
          <w:color w:val="0F172A"/>
          <w:sz w:val="44"/>
        </w:rPr>
        <w:t>MÉMOIRE TECHNIQUE JUSTIFICATIF</w:t>
        <w:br/>
        <w:t>TEST PROJ</w:t>
        <w:br/>
      </w:r>
    </w:p>
    <w:p>
      <w:r>
        <w:br/>
        <w:br/>
      </w:r>
    </w:p>
    <w:p>
      <w:pPr>
        <w:jc w:val="center"/>
      </w:pPr>
      <w:r>
        <w:rPr>
          <w:color w:val="334155"/>
          <w:sz w:val="24"/>
        </w:rPr>
        <w:t>Réf. Consultation : AO-2026</w:t>
        <w:br/>
        <w:t>Maître d'Ouvrage : Client</w:t>
        <w:br/>
        <w:t>Lot : Lot 01</w:t>
        <w:br/>
      </w:r>
    </w:p>
    <w:p>
      <w:r>
        <w:br/>
        <w:br/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Délai global d'exécution garanti :</w:t>
            </w:r>
          </w:p>
        </w:tc>
        <w:tc>
          <w:tcPr>
            <w:tcW w:type="dxa" w:w="4968"/>
          </w:tcPr>
          <w:p>
            <w:r>
              <w:t>6 mois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Budget prévisionnel des travaux :</w:t>
            </w:r>
          </w:p>
        </w:tc>
        <w:tc>
          <w:tcPr>
            <w:tcW w:type="dxa" w:w="4968"/>
          </w:tcPr>
          <w:p>
            <w:r>
              <w:t>3,500,000.00 € HT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Matériel lourd principal :</w:t>
            </w:r>
          </w:p>
        </w:tc>
        <w:tc>
          <w:tcPr>
            <w:tcW w:type="dxa" w:w="4968"/>
          </w:tcPr>
          <w:p>
            <w:r>
              <w:t>Grue Potain 50m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Taux de valorisation déchets BTP :</w:t>
            </w:r>
          </w:p>
        </w:tc>
        <w:tc>
          <w:tcPr>
            <w:tcW w:type="dxa" w:w="4968"/>
          </w:tcPr>
          <w:p>
            <w:r>
              <w:t>88% en filières locales agréées (&lt;15 km)</w:t>
            </w:r>
          </w:p>
        </w:tc>
      </w:tr>
    </w:tbl>
    <w:p>
      <w:r>
        <w:br w:type="page"/>
      </w:r>
    </w:p>
    <w:p>
      <w:pPr>
        <w:pStyle w:val="Heading1"/>
        <w:spacing w:after="280"/>
      </w:pPr>
      <w:r>
        <w:t>Sommaire du Mémoire Technique</w:t>
      </w:r>
    </w:p>
    <w:p>
      <w:pPr>
        <w:pStyle w:val="ListBullet"/>
      </w:pPr>
      <w:r>
        <w:rPr>
          <w:sz w:val="22"/>
        </w:rPr>
        <w:t>Sec 1</w:t>
      </w:r>
    </w:p>
    <w:p>
      <w:r>
        <w:br/>
      </w:r>
    </w:p>
    <w:p>
      <w:pPr>
        <w:pStyle w:val="Heading1"/>
        <w:spacing w:before="360" w:after="200"/>
      </w:pPr>
      <w:r>
        <w:t>Sec 1</w:t>
      </w:r>
    </w:p>
    <w:p>
      <w:pPr>
        <w:spacing w:line="276" w:lineRule="auto" w:after="120"/>
      </w:pPr>
      <w:r>
        <w:rPr>
          <w:sz w:val="21"/>
        </w:rPr>
        <w:t>Hello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