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CONSTRUCTION GROUPE SCOLAIRE &amp; GYMNASE — VILLE DE SAINT-DENIS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AO-2026-93200</w:t>
        <w:br/>
        <w:t>Maître d'Ouvrage : Ville de Saint-Denis</w:t>
        <w:br/>
        <w:t>Lot : Lot 01 : Gros Œuvre &amp; Structure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3,850,000.00 €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à tour Potain MDT 219 (65m de flèche)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pPr>
        <w:pStyle w:val="ListBullet"/>
      </w:pPr>
      <w:r>
        <w:rPr>
          <w:sz w:val="22"/>
        </w:rPr>
        <w:t>1. PRÉSENTATION DE L'ENTREPRISE &amp; MOYENS DÉDIÉS</w:t>
      </w:r>
    </w:p>
    <w:p>
      <w:pPr>
        <w:pStyle w:val="ListBullet"/>
      </w:pPr>
      <w:r>
        <w:rPr>
          <w:sz w:val="22"/>
        </w:rPr>
        <w:t>2. MÉTHODOLOGIE GÉNÉRALE DU GROS ŒUVRE &amp; LOGISTIQUE</w:t>
      </w:r>
    </w:p>
    <w:p>
      <w:pPr>
        <w:pStyle w:val="ListBullet"/>
      </w:pPr>
      <w:r>
        <w:rPr>
          <w:sz w:val="22"/>
        </w:rPr>
        <w:t>3. ENGAGEMENTS ENVIRONNEMENTAUX &amp; BÉTON BAS-CARBONE</w:t>
      </w:r>
    </w:p>
    <w:p>
      <w:r>
        <w:br/>
      </w:r>
    </w:p>
    <w:p>
      <w:pPr>
        <w:pStyle w:val="Heading1"/>
        <w:spacing w:before="360" w:after="200"/>
      </w:pPr>
      <w:r>
        <w:t>1. PRÉSENTATION DE L'ENTREPRISE &amp; MOYENS DÉDIÉS</w:t>
      </w:r>
    </w:p>
    <w:p>
      <w:pPr>
        <w:spacing w:line="276" w:lineRule="auto" w:after="120"/>
      </w:pPr>
      <w:r>
        <w:rPr>
          <w:sz w:val="21"/>
        </w:rPr>
        <w:t>Notre entreprise, qualifiée Qualibat 2152, met au service du Maître d'Ouvrage une organisation rigoureuse et des moyens matériels propres (Grue à tour Potain MDT 219 flèche 65m, banches manuportables aluminium).</w:t>
      </w:r>
    </w:p>
    <w:p>
      <w:pPr>
        <w:pStyle w:val="Heading1"/>
        <w:spacing w:before="360" w:after="200"/>
      </w:pPr>
      <w:r>
        <w:t>2. MÉTHODOLOGIE GÉNÉRALE DU GROS ŒUVRE &amp; LOGISTIQUE</w:t>
      </w:r>
    </w:p>
    <w:p>
      <w:pPr>
        <w:spacing w:line="276" w:lineRule="auto" w:after="120"/>
      </w:pPr>
      <w:r>
        <w:rPr>
          <w:sz w:val="21"/>
        </w:rPr>
        <w:t>Cadencement prévisionnel par trame de 48 heures pour garantir la livraison dans le délai contractuel impératif de 6 mois sans nuisances riverains.</w:t>
      </w:r>
    </w:p>
    <w:p>
      <w:pPr>
        <w:pStyle w:val="Heading1"/>
        <w:spacing w:before="360" w:after="200"/>
      </w:pPr>
      <w:r>
        <w:t>3. ENGAGEMENTS ENVIRONNEMENTAUX &amp; BÉTON BAS-CARBONE</w:t>
      </w:r>
    </w:p>
    <w:p>
      <w:pPr>
        <w:spacing w:line="276" w:lineRule="auto" w:after="120"/>
      </w:pPr>
      <w:r>
        <w:rPr>
          <w:sz w:val="21"/>
        </w:rPr>
        <w:t>Mise en œuvre de béton bas-carbone CEM III/A avec FDES vérifiée et valorisation matière des déchets à plus de 88% en filière locale agréée.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