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284C7"/>
          <w:sz w:val="32"/>
        </w:rPr>
        <w:t>BTP CONSTRUCTION FRANCE</w:t>
        <w:br/>
      </w:r>
    </w:p>
    <w:p>
      <w:pPr>
        <w:jc w:val="center"/>
      </w:pPr>
      <w:r>
        <w:rPr>
          <w:b/>
          <w:color w:val="64748B"/>
          <w:sz w:val="26"/>
        </w:rPr>
        <w:t>RÉPONSE À L'APPEL D'OFFRES</w:t>
        <w:br/>
      </w:r>
      <w:r>
        <w:rPr>
          <w:b/>
          <w:color w:val="0F172A"/>
          <w:sz w:val="44"/>
        </w:rPr>
        <w:t>MÉMOIRE TECHNIQUE JUSTIFICATIF</w:t>
        <w:br/>
        <w:t>PROJET A EXPORT MEMO</w:t>
        <w:br/>
      </w:r>
    </w:p>
    <w:p>
      <w:r>
        <w:br/>
        <w:br/>
      </w:r>
    </w:p>
    <w:p>
      <w:pPr>
        <w:jc w:val="center"/>
      </w:pPr>
      <w:r>
        <w:rPr>
          <w:color w:val="334155"/>
          <w:sz w:val="24"/>
        </w:rPr>
        <w:t>Réf. Consultation : AO-EXP-A</w:t>
        <w:br/>
        <w:t>Maître d'Ouvrage : Ville Paris</w:t>
        <w:br/>
        <w:t>Lot : None</w:t>
        <w:br/>
      </w:r>
    </w:p>
    <w:p>
      <w:r>
        <w:br/>
        <w:br/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Délai global d'exécution garanti :</w:t>
            </w:r>
          </w:p>
        </w:tc>
        <w:tc>
          <w:tcPr>
            <w:tcW w:type="dxa" w:w="4968"/>
          </w:tcPr>
          <w:p>
            <w:r>
              <w:t>6 mois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Budget prévisionnel des travaux :</w:t>
            </w:r>
          </w:p>
        </w:tc>
        <w:tc>
          <w:tcPr>
            <w:tcW w:type="dxa" w:w="4968"/>
          </w:tcPr>
          <w:p>
            <w:r>
              <w:t>0.00 € HT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Matériel lourd principal :</w:t>
            </w:r>
          </w:p>
        </w:tc>
        <w:tc>
          <w:tcPr>
            <w:tcW w:type="dxa" w:w="4968"/>
          </w:tcPr>
          <w:p>
            <w:r>
              <w:t>Grue Potain 50m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Taux de valorisation déchets BTP :</w:t>
            </w:r>
          </w:p>
        </w:tc>
        <w:tc>
          <w:tcPr>
            <w:tcW w:type="dxa" w:w="4968"/>
          </w:tcPr>
          <w:p>
            <w:r>
              <w:t>88% en filières locales agréées (&lt;15 km)</w:t>
            </w:r>
          </w:p>
        </w:tc>
      </w:tr>
    </w:tbl>
    <w:p>
      <w:r>
        <w:br w:type="page"/>
      </w:r>
    </w:p>
    <w:p>
      <w:pPr>
        <w:pStyle w:val="Heading1"/>
        <w:spacing w:after="280"/>
      </w:pPr>
      <w:r>
        <w:t>Sommaire du Mémoire Technique</w:t>
      </w:r>
    </w:p>
    <w:p>
      <w:r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