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284C7"/>
          <w:sz w:val="32"/>
        </w:rPr>
        <w:t>Votre Entreprise</w:t>
        <w:br/>
      </w:r>
    </w:p>
    <w:p>
      <w:pPr>
        <w:jc w:val="center"/>
      </w:pPr>
      <w:r>
        <w:rPr>
          <w:b/>
          <w:color w:val="64748B"/>
          <w:sz w:val="26"/>
        </w:rPr>
        <w:t>RÉPONSE À L'APPEL D'OFFRES</w:t>
        <w:br/>
      </w:r>
      <w:r>
        <w:rPr>
          <w:b/>
          <w:color w:val="0F172A"/>
          <w:sz w:val="44"/>
        </w:rPr>
        <w:t>MÉMOIRE TECHNIQUE JUSTIFICATIF</w:t>
        <w:br/>
        <w:t>CONSTRUCTION GROUPE SCOLAIRE</w:t>
        <w:br/>
      </w:r>
    </w:p>
    <w:p>
      <w:r>
        <w:br/>
        <w:br/>
      </w:r>
    </w:p>
    <w:p>
      <w:pPr>
        <w:jc w:val="center"/>
      </w:pPr>
      <w:r>
        <w:rPr>
          <w:color w:val="334155"/>
          <w:sz w:val="24"/>
        </w:rPr>
        <w:t>Réf. Consultation : AO-2026-001</w:t>
        <w:br/>
        <w:t>Maître d'Ouvrage : Ville de Saint-Denis</w:t>
        <w:br/>
        <w:t>Lot : Lot 01</w:t>
        <w:br/>
      </w:r>
    </w:p>
    <w:p>
      <w:r>
        <w:br/>
        <w:br/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Délai global d'exécution garanti :</w:t>
            </w:r>
          </w:p>
        </w:tc>
        <w:tc>
          <w:tcPr>
            <w:tcW w:type="dxa" w:w="4968"/>
          </w:tcPr>
          <w:p>
            <w:r>
              <w:t>6 mois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Budget prévisionnel des travaux :</w:t>
            </w:r>
          </w:p>
        </w:tc>
        <w:tc>
          <w:tcPr>
            <w:tcW w:type="dxa" w:w="4968"/>
          </w:tcPr>
          <w:p>
            <w:r>
              <w:t>3,000,000.00 € 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Matériel lourd principal :</w:t>
            </w:r>
          </w:p>
        </w:tc>
        <w:tc>
          <w:tcPr>
            <w:tcW w:type="dxa" w:w="4968"/>
          </w:tcPr>
          <w:p>
            <w:r>
              <w:t>Grue Potain MDT 219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Taux de valorisation déchets BTP :</w:t>
            </w:r>
          </w:p>
        </w:tc>
        <w:tc>
          <w:tcPr>
            <w:tcW w:type="dxa" w:w="4968"/>
          </w:tcPr>
          <w:p>
            <w:r>
              <w:t>88% en filières locales agréées (&lt;15 km)</w:t>
            </w:r>
          </w:p>
        </w:tc>
      </w:tr>
    </w:tbl>
    <w:p>
      <w:r>
        <w:br w:type="page"/>
      </w:r>
    </w:p>
    <w:p>
      <w:pPr>
        <w:pStyle w:val="Heading1"/>
        <w:spacing w:after="280"/>
      </w:pPr>
      <w:r>
        <w:t>Sommaire du Mémoire Technique</w:t>
      </w:r>
    </w:p>
    <w:p>
      <w:pPr>
        <w:pStyle w:val="ListBullet"/>
      </w:pPr>
      <w:r>
        <w:rPr>
          <w:sz w:val="22"/>
        </w:rPr>
        <w:t>1. Moyens Humains</w:t>
      </w:r>
    </w:p>
    <w:p>
      <w:r>
        <w:br/>
      </w:r>
    </w:p>
    <w:p>
      <w:pPr>
        <w:pStyle w:val="Heading1"/>
        <w:spacing w:before="360" w:after="200"/>
      </w:pPr>
      <w:r>
        <w:t>1. Moyens Humains</w:t>
      </w:r>
    </w:p>
    <w:p>
      <w:pPr>
        <w:spacing w:line="276" w:lineRule="auto" w:after="120"/>
      </w:pPr>
      <w:r>
        <w:rPr>
          <w:sz w:val="21"/>
        </w:rPr>
        <w:t>Direction par Jean-Marc Alibert. Taux d'encadrement garanti 18.5%.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