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EiffaBTP Construction SAS</w:t>
      </w:r>
    </w:p>
    <w:p>
      <w:pPr>
        <w:spacing w:after="300"/>
      </w:pPr>
      <w:r>
        <w:rPr>
          <w:color w:val="64748B"/>
          <w:sz w:val="16"/>
          <w:szCs w:val="16"/>
        </w:rPr>
        <w:t xml:space="preserve">SIRET 452 871 609 00041 — Qualibat 1112 / 2412 — ISO 9001</w:t>
      </w:r>
    </w:p>
    <w:p>
      <w:pPr>
        <w:pStyle w:val="Title"/>
        <w:spacing w:after="100"/>
      </w:pPr>
      <w:r>
        <w:t xml:space="preserve">Requalification de la voirie et des espaces publics — Cœur de bourg de Vallet</w:t>
      </w:r>
    </w:p>
    <w:p>
      <w:pPr>
        <w:spacing w:after="300"/>
      </w:pPr>
      <w:r>
        <w:rPr>
          <w:i/>
          <w:iCs/>
          <w:color w:val="475569"/>
        </w:rPr>
        <w:t xml:space="preserve">Fiche référence — Savoir-faire technique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Maître d'ouvrage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Communauté de communes Sèvre et Loire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Montant des travaux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1 950 000 € HT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Année de réalisation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du chantier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8 mois</w:t>
            </w:r>
          </w:p>
        </w:tc>
      </w:tr>
    </w:tbl>
    <w:p>
      <w:pPr>
        <w:pStyle w:val="Heading2"/>
        <w:spacing w:after="120" w:before="300"/>
      </w:pPr>
      <w:r>
        <w:t xml:space="preserve">Description technique</w:t>
      </w:r>
    </w:p>
    <w:p>
      <w:pPr>
        <w:spacing w:after="200"/>
      </w:pPr>
      <w:r>
        <w:rPr>
          <w:sz w:val="21"/>
          <w:szCs w:val="21"/>
        </w:rPr>
        <w:t xml:space="preserve">Reprise des réseaux eaux usées / eaux pluviales en séparatif, chaussée en enrobés désactivés pour le centre-bourg, mobilier urbain et éclairage public LED, plantations et noues paysagères de gestion des eaux pluviales à ciel ouvert. Chantier phasé en 4 tranches successives pour maintenir l'activité commerçante du centre-bourg.</w:t>
      </w:r>
    </w:p>
    <w:p>
      <w:pPr>
        <w:pStyle w:val="Heading2"/>
        <w:spacing w:after="120" w:before="300"/>
      </w:pPr>
      <w:r>
        <w:t xml:space="preserve">Moyens mobilisés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Réunion de concertation hebdomadaire avec riverains et commerçants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Signalétique de déviation dédiée et mise à jour à chaque changement de tranche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Coordination hebdomadaire avec les concessionnaires de réseaux (Enedis, GRDF, Orange)</w:t>
      </w:r>
    </w:p>
    <w:p>
      <w:pPr>
        <w:pStyle w:val="Heading2"/>
        <w:spacing w:after="120" w:before="300"/>
      </w:pPr>
      <w:r>
        <w:t xml:space="preserve">Résultats</w:t>
      </w:r>
    </w:p>
    <w:p>
      <w:pPr>
        <w:spacing w:after="200"/>
      </w:pPr>
      <w:r>
        <w:rPr>
          <w:sz w:val="21"/>
          <w:szCs w:val="21"/>
        </w:rPr>
        <w:t xml:space="preserve">Tranches livrées dans les délais malgré deux semaines d'intempéries en cours de chantier, rattrapées par réorganisation du planning. Aucune réclamation formalisée de commerçants après la deuxième tranche.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2026-08-23T12:02:53.561Z</dcterms:created>
  <dcterms:modified xsi:type="dcterms:W3CDTF">2026-08-23T12:02:53.561Z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