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20"/>
          <w:szCs w:val="20"/>
        </w:rPr>
        <w:t xml:space="preserve">EiffaBTP Construction SAS</w:t>
      </w:r>
    </w:p>
    <w:p>
      <w:pPr>
        <w:spacing w:after="300"/>
      </w:pPr>
      <w:r>
        <w:rPr>
          <w:color w:val="64748B"/>
          <w:sz w:val="16"/>
          <w:szCs w:val="16"/>
        </w:rPr>
        <w:t xml:space="preserve">SIRET 452 871 609 00041 — Qualibat 1112 / 2412 — ISO 9001</w:t>
      </w:r>
    </w:p>
    <w:p>
      <w:pPr>
        <w:pStyle w:val="Title"/>
        <w:spacing w:after="100"/>
      </w:pPr>
      <w:r>
        <w:t xml:space="preserve">Réhabilitation lourde de 84 logements sociaux — Résidence Les Ormeaux</w:t>
      </w:r>
    </w:p>
    <w:p>
      <w:pPr>
        <w:spacing w:after="300"/>
      </w:pPr>
      <w:r>
        <w:rPr>
          <w:i/>
          <w:iCs/>
          <w:color w:val="475569"/>
        </w:rPr>
        <w:t xml:space="preserve">Fiche référence — Savoir-faire technique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Maître d'ouvrage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Nantes Habitat (bailleur social)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Montant des travaux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3 850 000 € HT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Année de réalisation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2023–2024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du chantier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14 mois</w:t>
            </w:r>
          </w:p>
        </w:tc>
      </w:tr>
    </w:tbl>
    <w:p>
      <w:pPr>
        <w:pStyle w:val="Heading2"/>
        <w:spacing w:after="120" w:before="300"/>
      </w:pPr>
      <w:r>
        <w:t xml:space="preserve">Description technique</w:t>
      </w:r>
    </w:p>
    <w:p>
      <w:pPr>
        <w:spacing w:after="200"/>
      </w:pPr>
      <w:r>
        <w:rPr>
          <w:sz w:val="21"/>
          <w:szCs w:val="21"/>
        </w:rPr>
        <w:t xml:space="preserve">Désamiantage complet (retrait de flocage sous-toiture et dalles amiantées en sous-section 3), remplacement des menuiseries extérieures par du double vitrage, isolation thermique par l'extérieur (ITE) de 16 cm, réfection de l'étanchéité des toitures-terrasses, mise aux normes accessibilité PMR des halls et ascenseurs, et ravalement complet des façades.</w:t>
      </w:r>
    </w:p>
    <w:p>
      <w:pPr>
        <w:pStyle w:val="Heading2"/>
        <w:spacing w:after="120" w:before="300"/>
      </w:pPr>
      <w:r>
        <w:t xml:space="preserve">Moyens mobilisés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Équipe de désamiantage certifiée sous-section 3 (formation SS3 à jour)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 conducteur de travaux dédié à temps plein sur toute la durée du chantier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18 compagnons mobilisés en pointe d'activité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Échafaudages posés simultanément sur 3 cages d'escalier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Base vie installée sur site avec zone de confinement amiante dédiée</w:t>
      </w:r>
    </w:p>
    <w:p>
      <w:pPr>
        <w:pStyle w:val="Heading2"/>
        <w:spacing w:after="120" w:before="300"/>
      </w:pPr>
      <w:r>
        <w:t xml:space="preserve">Résultats</w:t>
      </w:r>
    </w:p>
    <w:p>
      <w:pPr>
        <w:spacing w:after="200"/>
      </w:pPr>
      <w:r>
        <w:rPr>
          <w:sz w:val="21"/>
          <w:szCs w:val="21"/>
        </w:rPr>
        <w:t xml:space="preserve">Livraison sans dépassement de délai malgré un aléa amiante complémentaire détecté en phase travaux (avenant validé et exécuté sous 3 semaines). Aucun accident du travail enregistré sur le chantier. Taux de satisfaction des locataires relogés temporairement de 92 % sur l'enquête de sortie de chantier.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2026-08-23T12:02:53.416Z</dcterms:created>
  <dcterms:modified xsi:type="dcterms:W3CDTF">2026-08-23T12:02:53.428Z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