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172A"/>
          <w:sz w:val="20"/>
          <w:szCs w:val="20"/>
        </w:rPr>
        <w:t xml:space="preserve">EiffaBTP Construction SAS</w:t>
      </w:r>
    </w:p>
    <w:p>
      <w:pPr>
        <w:spacing w:after="300"/>
      </w:pPr>
      <w:r>
        <w:rPr>
          <w:color w:val="64748B"/>
          <w:sz w:val="16"/>
          <w:szCs w:val="16"/>
        </w:rPr>
        <w:t xml:space="preserve">SIRET 452 871 609 00041 — Qualibat 1112 / 2412 — ISO 9001</w:t>
      </w:r>
    </w:p>
    <w:p>
      <w:pPr>
        <w:pStyle w:val="Title"/>
        <w:spacing w:after="100"/>
      </w:pPr>
      <w:r>
        <w:t xml:space="preserve">Plateforme logistique multi-clients — 12 400 m² d'entrepôt et bureaux</w:t>
      </w:r>
    </w:p>
    <w:p>
      <w:pPr>
        <w:spacing w:after="300"/>
      </w:pPr>
      <w:r>
        <w:rPr>
          <w:i/>
          <w:iCs/>
          <w:color w:val="475569"/>
        </w:rPr>
        <w:t xml:space="preserve">Fiche référence — Savoir-faire technique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6000"/>
      </w:tblGrid>
      <w:tr>
        <w:tc>
          <w:tcPr>
            <w:tcW w:type="dxa" w:w="3350"/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Maître d'ouvrage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SCI Atlantique Logistique (maîtrise d'ouvrage privée)</w:t>
            </w:r>
          </w:p>
        </w:tc>
      </w:tr>
      <w:tr>
        <w:tc>
          <w:tcPr>
            <w:tcW w:type="dxa" w:w="3350"/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Montant des travaux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6 900 000 € HT</w:t>
            </w:r>
          </w:p>
        </w:tc>
      </w:tr>
      <w:tr>
        <w:tc>
          <w:tcPr>
            <w:tcW w:type="dxa" w:w="3350"/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Année de réalisation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2021–2022</w:t>
            </w:r>
          </w:p>
        </w:tc>
      </w:tr>
      <w:tr>
        <w:tc>
          <w:tcPr>
            <w:tcW w:type="dxa" w:w="3350"/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Durée du chantier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11 mois</w:t>
            </w:r>
          </w:p>
        </w:tc>
      </w:tr>
    </w:tbl>
    <w:p>
      <w:pPr>
        <w:pStyle w:val="Heading2"/>
        <w:spacing w:after="120" w:before="300"/>
      </w:pPr>
      <w:r>
        <w:t xml:space="preserve">Description technique</w:t>
      </w:r>
    </w:p>
    <w:p>
      <w:pPr>
        <w:spacing w:after="200"/>
      </w:pPr>
      <w:r>
        <w:rPr>
          <w:sz w:val="21"/>
          <w:szCs w:val="21"/>
        </w:rPr>
        <w:t xml:space="preserve">Charpente métallique à portée libre de 24 m, dalle industrielle quartzée classe 4 (haute résistance au poinçonnement pour engins de manutention lourds), désenfumage naturel associé à un sprinklage ESFR, 18 postes de quais de chargement équipés de niveleurs, bureaux R+1 attenants à l'entrepôt.</w:t>
      </w:r>
    </w:p>
    <w:p>
      <w:pPr>
        <w:pStyle w:val="Heading2"/>
        <w:spacing w:after="120" w:before="300"/>
      </w:pPr>
      <w:r>
        <w:t xml:space="preserve">Moyens mobilisés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Lot charpente en sous-traitance pilotée directement par le conducteur de travaux principal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Planning tendu avec jalons hebdomadaires partagés en temps réel avec la maîtrise d'ouvrage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Contrôle de planéité de dalle réalisé par un cabinet indépendant à chaque phase de coulage</w:t>
      </w:r>
    </w:p>
    <w:p>
      <w:pPr>
        <w:pStyle w:val="Heading2"/>
        <w:spacing w:after="120" w:before="300"/>
      </w:pPr>
      <w:r>
        <w:t xml:space="preserve">Résultats</w:t>
      </w:r>
    </w:p>
    <w:p>
      <w:pPr>
        <w:spacing w:after="200"/>
      </w:pPr>
      <w:r>
        <w:rPr>
          <w:sz w:val="21"/>
          <w:szCs w:val="21"/>
        </w:rPr>
        <w:t xml:space="preserve">Dalle livrée sans reprise, planéité conforme aux exigences du DTU 13.3. Aucune réserve levée lors de la réception finale. Chantier réalisé sans accident du travail.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2026-08-23T12:02:53.546Z</dcterms:created>
  <dcterms:modified xsi:type="dcterms:W3CDTF">2026-08-23T12:02:53.546Z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