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72A"/>
          <w:sz w:val="20"/>
          <w:szCs w:val="20"/>
        </w:rPr>
        <w:t xml:space="preserve">EiffaBTP Construction SAS</w:t>
      </w:r>
    </w:p>
    <w:p>
      <w:pPr>
        <w:spacing w:after="300"/>
      </w:pPr>
      <w:r>
        <w:rPr>
          <w:color w:val="64748B"/>
          <w:sz w:val="16"/>
          <w:szCs w:val="16"/>
        </w:rPr>
        <w:t xml:space="preserve">SIRET 452 871 609 00041 — Qualibat 1112 / 2412 — ISO 9001</w:t>
      </w:r>
    </w:p>
    <w:p>
      <w:pPr>
        <w:pStyle w:val="Title"/>
        <w:spacing w:after="100"/>
      </w:pPr>
      <w:r>
        <w:t xml:space="preserve">Rénovation énergétique globale — Copropriété Le Belvédère (156 logements)</w:t>
      </w:r>
    </w:p>
    <w:p>
      <w:pPr>
        <w:spacing w:after="300"/>
      </w:pPr>
      <w:r>
        <w:rPr>
          <w:i/>
          <w:iCs/>
          <w:color w:val="475569"/>
        </w:rPr>
        <w:t xml:space="preserve">Fiche référence — Savoir-faire technique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Maître d'ouvrage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Syndicat des copropriétaires Le Belvédère (syndic Foncia)</w:t>
            </w:r>
          </w:p>
        </w:tc>
      </w:tr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Montant des travaux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4 400 000 € HT</w:t>
            </w:r>
          </w:p>
        </w:tc>
      </w:tr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Année de réalisation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2024 (chantier en cours)</w:t>
            </w:r>
          </w:p>
        </w:tc>
      </w:tr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Durée du chantier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12 mois prévus</w:t>
            </w:r>
          </w:p>
        </w:tc>
      </w:tr>
    </w:tbl>
    <w:p>
      <w:pPr>
        <w:pStyle w:val="Heading2"/>
        <w:spacing w:after="120" w:before="300"/>
      </w:pPr>
      <w:r>
        <w:t xml:space="preserve">Description technique</w:t>
      </w:r>
    </w:p>
    <w:p>
      <w:pPr>
        <w:spacing w:after="200"/>
      </w:pPr>
      <w:r>
        <w:rPr>
          <w:sz w:val="21"/>
          <w:szCs w:val="21"/>
        </w:rPr>
        <w:t xml:space="preserve">Isolation thermique par l'extérieur (ITE) de 18 cm avec bardage composite, remplacement de la chaudière collective fioul par des pompes à chaleur collectives avec appoint solaire thermique, VMC hygroréglable dans l'ensemble des logements. Objectif de passage de l'étiquette DPE de E à B. Dossier de financement CEE et MaPrimeRénov' Copropriété monté avec un assistant à maîtrise d'ouvrage (AMO).</w:t>
      </w:r>
    </w:p>
    <w:p>
      <w:pPr>
        <w:pStyle w:val="Heading2"/>
        <w:spacing w:after="120" w:before="300"/>
      </w:pPr>
      <w:r>
        <w:t xml:space="preserve">Moyens mobilisés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Partenariat avec un bureau d'études thermiques indépendant pour le dimensionnement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Montage administratif des dossiers CEE et subventions assuré en interne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Phasage par cage d'escalier pour limiter la gêne aux occupants pendant les travaux</w:t>
      </w:r>
    </w:p>
    <w:p>
      <w:pPr>
        <w:pStyle w:val="Heading2"/>
        <w:spacing w:after="120" w:before="300"/>
      </w:pPr>
      <w:r>
        <w:t xml:space="preserve">Résultats</w:t>
      </w:r>
    </w:p>
    <w:p>
      <w:pPr>
        <w:spacing w:after="200"/>
      </w:pPr>
      <w:r>
        <w:rPr>
          <w:sz w:val="21"/>
          <w:szCs w:val="21"/>
        </w:rPr>
        <w:t xml:space="preserve">À ce jour, 3 cages d'escalier sur 6 livrées, conformes aux engagements de performance énergétique. Gain DPE mesuré cohérent avec l'étude thermique initiale.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2026-08-23T12:02:53.590Z</dcterms:created>
  <dcterms:modified xsi:type="dcterms:W3CDTF">2026-08-23T12:02:53.590Z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