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20"/>
          <w:szCs w:val="20"/>
        </w:rPr>
        <w:t xml:space="preserve">EiffaBTP Construction SAS</w:t>
      </w:r>
    </w:p>
    <w:p>
      <w:pPr>
        <w:spacing w:after="300"/>
      </w:pPr>
      <w:r>
        <w:rPr>
          <w:color w:val="64748B"/>
          <w:sz w:val="16"/>
          <w:szCs w:val="16"/>
        </w:rPr>
        <w:t xml:space="preserve">SIRET 452 871 609 00041 — Qualibat 1112 / 2412 — ISO 9001</w:t>
      </w:r>
    </w:p>
    <w:p>
      <w:pPr>
        <w:pStyle w:val="Title"/>
        <w:spacing w:after="100"/>
      </w:pPr>
      <w:r>
        <w:t xml:space="preserve">Mémoire technique — Construction du groupe scolaire Les Tilleuls (8 classes)</w:t>
      </w:r>
    </w:p>
    <w:p>
      <w:pPr>
        <w:spacing w:after="300"/>
      </w:pPr>
      <w:r>
        <w:rPr>
          <w:i/>
          <w:iCs/>
          <w:color w:val="475569"/>
        </w:rPr>
        <w:t xml:space="preserve">Mémoire technique — Réponse à consultation</w:t>
      </w:r>
    </w:p>
    <w:p>
      <w:pPr>
        <w:pStyle w:val="Heading2"/>
        <w:spacing w:after="120" w:before="300"/>
      </w:pPr>
      <w:r>
        <w:t xml:space="preserve">1. Présentation de l'entreprise et moyens généraux</w:t>
      </w:r>
    </w:p>
    <w:p>
      <w:pPr>
        <w:spacing w:after="200"/>
      </w:pPr>
      <w:r>
        <w:rPr>
          <w:sz w:val="21"/>
          <w:szCs w:val="21"/>
        </w:rPr>
        <w:t xml:space="preserve">EiffaBTP Construction SAS est une entreprise générale de bâtiment implantée à Nantes, certifiée Qualibat 1112 (maçonnerie générale et gros œuvre) et ISO 9001. L'entreprise dispose d'un bureau d'études structure intégré et d'une équipe de conduite de travaux expérimentée sur les opérations de construction d'établissements scolaires en site occupé ou à proximité d'établissements en activité.</w:t>
      </w:r>
    </w:p>
    <w:p>
      <w:pPr>
        <w:pStyle w:val="Heading2"/>
        <w:spacing w:after="120" w:before="300"/>
      </w:pPr>
      <w:r>
        <w:t xml:space="preserve">2. Méthodologie d'exécution et phasage</w:t>
      </w:r>
    </w:p>
    <w:p>
      <w:pPr>
        <w:spacing w:after="200"/>
      </w:pPr>
      <w:r>
        <w:rPr>
          <w:sz w:val="21"/>
          <w:szCs w:val="21"/>
        </w:rPr>
        <w:t xml:space="preserve">Le chantier sera phasé en deux temps : construction du bâtiment principal (salles de classe et administration) en zone isolée du reste du site, puis réalisation du préau et des aménagements extérieurs en dernière phase pour limiter les nuisances sonores pendant les périodes scolaires. Un cloisonnement acoustique de chantier sera mis en place dès le démarrage, sur le même principe que celui déployé lors d'opérations scolaires précédentes.</w:t>
      </w:r>
    </w:p>
    <w:p>
      <w:pPr>
        <w:pStyle w:val="Heading2"/>
        <w:spacing w:after="120" w:before="300"/>
      </w:pPr>
      <w:r>
        <w:t xml:space="preserve">3. Organisation Qualité-Sécurité-Environnement (QSE)</w:t>
      </w:r>
    </w:p>
    <w:p>
      <w:pPr>
        <w:pStyle w:val="ListParagraph"/>
        <w:numPr>
          <w:ilvl w:val="0"/>
          <w:numId w:val="1"/>
        </w:numPr>
        <w:spacing w:after="80"/>
      </w:pPr>
      <w:r>
        <w:rPr>
          <w:sz w:val="21"/>
          <w:szCs w:val="21"/>
        </w:rPr>
        <w:t xml:space="preserve">Plan Particulier de Sécurité et de Protection de la Santé (PPSPS) adapté à la proximité d'un public scolaire</w:t>
      </w:r>
    </w:p>
    <w:p>
      <w:pPr>
        <w:pStyle w:val="ListParagraph"/>
        <w:numPr>
          <w:ilvl w:val="0"/>
          <w:numId w:val="1"/>
        </w:numPr>
        <w:spacing w:after="80"/>
      </w:pPr>
      <w:r>
        <w:rPr>
          <w:sz w:val="21"/>
          <w:szCs w:val="21"/>
        </w:rPr>
        <w:t xml:space="preserve">Coordinateur SPS désigné dès la phase de conception</w:t>
      </w:r>
    </w:p>
    <w:p>
      <w:pPr>
        <w:pStyle w:val="ListParagraph"/>
        <w:numPr>
          <w:ilvl w:val="0"/>
          <w:numId w:val="1"/>
        </w:numPr>
        <w:spacing w:after="80"/>
      </w:pPr>
      <w:r>
        <w:rPr>
          <w:sz w:val="21"/>
          <w:szCs w:val="21"/>
        </w:rPr>
        <w:t xml:space="preserve">Horaires de livraison de matériaux restreints en dehors des heures d'entrée et sortie des classes</w:t>
      </w:r>
    </w:p>
    <w:p>
      <w:pPr>
        <w:pStyle w:val="ListParagraph"/>
        <w:numPr>
          <w:ilvl w:val="0"/>
          <w:numId w:val="1"/>
        </w:numPr>
        <w:spacing w:after="80"/>
      </w:pPr>
      <w:r>
        <w:rPr>
          <w:sz w:val="21"/>
          <w:szCs w:val="21"/>
        </w:rPr>
        <w:t xml:space="preserve">Objectif zéro accident du travail, conforme à l'historique de l'entreprise sur ses opérations scolaires précédentes</w:t>
      </w:r>
    </w:p>
    <w:p>
      <w:pPr>
        <w:pStyle w:val="Heading2"/>
        <w:spacing w:after="120" w:before="300"/>
      </w:pPr>
      <w:r>
        <w:t xml:space="preserve">4. Gestion des déchets et économie circulaire</w:t>
      </w:r>
    </w:p>
    <w:p>
      <w:pPr>
        <w:spacing w:after="200"/>
      </w:pPr>
      <w:r>
        <w:rPr>
          <w:sz w:val="21"/>
          <w:szCs w:val="21"/>
        </w:rPr>
        <w:t xml:space="preserve">Tri sélectif des déchets de chantier en 7 flux avec bordereaux de suivi (BSD) électroniques. Valorisation des déblais de terrassement en réemploi sur site pour les aménagements paysagers extérieurs dans la mesure du possible, réduisant le volume évacué en décharge.</w:t>
      </w:r>
    </w:p>
    <w:p>
      <w:pPr>
        <w:pStyle w:val="Heading2"/>
        <w:spacing w:after="120" w:before="300"/>
      </w:pPr>
      <w:r>
        <w:t xml:space="preserve">5. Références similaires</w:t>
      </w:r>
    </w:p>
    <w:p>
      <w:pPr>
        <w:spacing w:after="200"/>
      </w:pPr>
      <w:r>
        <w:rPr>
          <w:sz w:val="21"/>
          <w:szCs w:val="21"/>
        </w:rPr>
        <w:t xml:space="preserve">Cette opération s'inscrit dans la continuité directe de la construction du groupe scolaire Jean Moulin réalisée pour la commune de Saint-Herblain (5 200 000 € HT, livré en 2023 avec le label BDM Argent et 2 semaines d'avance sur planning), qui a mobilisé la même méthodologie de phasage en site occupé. L'expérience acquise sur la requalification des espaces publics de Vallet est également mobilisée pour le traitement paysager de la cour extérieure.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2026-08-23T12:02:53.614Z</dcterms:created>
  <dcterms:modified xsi:type="dcterms:W3CDTF">2026-08-23T12:02:53.614Z</dcterms:modified>
</cp:coreProperties>
</file>

<file path=docProps/custom.xml><?xml version="1.0" encoding="utf-8"?>
<Properties xmlns="http://schemas.openxmlformats.org/officeDocument/2006/custom-properties" xmlns:vt="http://schemas.openxmlformats.org/officeDocument/2006/docPropsVTypes"/>
</file>