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CONSTRUCTION GROUPE SCOLAIRE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AO-2026-001</w:t>
        <w:br/>
        <w:t>Maître d'Ouvrage : Ville de Saint-Denis</w:t>
        <w:br/>
        <w:t>Lot : Lot 01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3,000,000.00 €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MDT 219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pPr>
        <w:pStyle w:val="ListBullet"/>
      </w:pPr>
      <w:r>
        <w:rPr>
          <w:sz w:val="22"/>
        </w:rPr>
        <w:t>1. Moyens Humains</w:t>
      </w:r>
    </w:p>
    <w:p>
      <w:r>
        <w:br/>
      </w:r>
    </w:p>
    <w:p>
      <w:pPr>
        <w:pStyle w:val="Heading1"/>
        <w:spacing w:before="360" w:after="200"/>
      </w:pPr>
      <w:r>
        <w:t>1. Moyens Humains</w:t>
      </w:r>
    </w:p>
    <w:p>
      <w:pPr>
        <w:spacing w:line="276" w:lineRule="auto" w:after="120"/>
      </w:pPr>
      <w:r>
        <w:rPr>
          <w:sz w:val="21"/>
        </w:rPr>
        <w:t>Direction par Jean-Marc Alibert. Taux d'encadrement garanti 18.5%.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