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none" w:color="FFFFFF" w:sz="0"/>
              <w:left w:val="none" w:color="FFFFFF" w:sz="0"/>
              <w:bottom w:val="none" w:color="FFFFFF" w:sz="0"/>
              <w:right w:val="none" w:color="FFFFFF" w:sz="0"/>
            </w:tcBorders>
            <w:shd w:fill="16324F" w:color="auto" w:val="clear"/>
            <w:tcMar>
              <w:top w:type="dxa" w:w="340"/>
              <w:left w:type="dxa" w:w="380"/>
              <w:bottom w:type="dxa" w:w="340"/>
              <w:right w:type="dxa" w:w="380"/>
            </w:tcMar>
          </w:tcPr>
          <w:p>
            <w:pPr>
              <w:spacing w:after="90"/>
            </w:pPr>
            <w:r>
              <w:rPr>
                <w:rFonts w:ascii="Calibri" w:cs="Calibri" w:eastAsia="Calibri" w:hAnsi="Calibri"/>
                <w:b/>
                <w:bCs/>
                <w:color w:val="AD7A34"/>
                <w:spacing w:val="20"/>
                <w:sz w:val="18"/>
                <w:szCs w:val="18"/>
              </w:rPr>
              <w:t xml:space="preserve">COMMERCIAL OFFER — BINDING TERM SHEET</w:t>
            </w:r>
          </w:p>
          <w:p>
            <w:pPr>
              <w:spacing w:after="90"/>
            </w:pPr>
            <w:r>
              <w:rPr>
                <w:rFonts w:ascii="Cambria" w:cs="Cambria" w:eastAsia="Cambria" w:hAnsi="Cambria"/>
                <w:b/>
                <w:bCs/>
                <w:color w:val="FFFFFF"/>
                <w:sz w:val="46"/>
                <w:szCs w:val="46"/>
              </w:rPr>
              <w:t xml:space="preserve">btpAO AI Tender Engine</w:t>
            </w:r>
          </w:p>
          <w:p>
            <w:r>
              <w:rPr>
                <w:rFonts w:ascii="Cambria" w:cs="Cambria" w:eastAsia="Cambria" w:hAnsi="Cambria"/>
                <w:i/>
                <w:iCs/>
                <w:color w:val="C9D4E0"/>
                <w:sz w:val="23"/>
                <w:szCs w:val="23"/>
              </w:rPr>
              <w:t xml:space="preserve">Calibration Pilot, SaaS Production &amp; Bespoke Engineering Services</w:t>
            </w:r>
          </w:p>
        </w:tc>
      </w:tr>
    </w:tbl>
    <w:p>
      <w:pPr>
        <w:pBdr>
          <w:bottom w:val="single" w:color="C3CBD6" w:sz="4" w:space="8"/>
        </w:pBdr>
        <w:spacing w:after="260" w:before="160"/>
      </w:pPr>
      <w:r>
        <w:rPr>
          <w:rFonts w:ascii="Calibri" w:cs="Calibri" w:eastAsia="Calibri" w:hAnsi="Calibri"/>
          <w:color w:val="45505C"/>
          <w:sz w:val="18"/>
          <w:szCs w:val="18"/>
        </w:rPr>
        <w:t xml:space="preserve">Ref: OFR-2026-MAN-TND-02      |      Date: September 15, 2026      |      Governed by Signed NDA</w:t>
      </w:r>
    </w:p>
    <w:p>
      <w:pPr>
        <w:keepNext/>
        <w:keepLines/>
        <w:spacing w:after="100" w:before="120"/>
      </w:pPr>
      <w:r>
        <w:rPr>
          <w:rFonts w:ascii="Calibri" w:cs="Calibri" w:eastAsia="Calibri" w:hAnsi="Calibri"/>
          <w:b/>
          <w:bCs/>
          <w:color w:val="16324F"/>
          <w:sz w:val="20"/>
          <w:szCs w:val="20"/>
        </w:rPr>
        <w:t xml:space="preserve">THE CLIENT (“First Party”):</w:t>
      </w:r>
    </w:p>
    <w:p>
      <w:pPr>
        <w:spacing w:after="160" w:line="276"/>
      </w:pPr>
      <w:r>
        <w:rPr>
          <w:rFonts w:ascii="Calibri" w:cs="Calibri" w:eastAsia="Calibri" w:hAnsi="Calibri"/>
          <w:color w:val="1F2A33"/>
          <w:sz w:val="20"/>
          <w:szCs w:val="20"/>
        </w:rPr>
        <w:t xml:space="preserve">MAN Enterprise SAL Offshore, a company established under the laws of the Lebanese Republic, duly represented by Mr. Thierry Abi Nader, having its registered office at Sole Center, Charles Malek Avenue, Achrafieh, Beirut, and registered in the Commercial Register of Beirut under number 1800360 (hereinafter the “First Party” or “MAN Enterprise”), on one part,</w:t>
      </w:r>
    </w:p>
    <w:p>
      <w:pPr>
        <w:keepNext/>
        <w:keepLines/>
        <w:spacing w:after="100" w:before="120"/>
      </w:pPr>
      <w:r>
        <w:rPr>
          <w:rFonts w:ascii="Calibri" w:cs="Calibri" w:eastAsia="Calibri" w:hAnsi="Calibri"/>
          <w:b/>
          <w:bCs/>
          <w:color w:val="16324F"/>
          <w:sz w:val="20"/>
          <w:szCs w:val="20"/>
        </w:rPr>
        <w:t xml:space="preserve">THE SOFTWARE EDITOR &amp; PROVIDER (“Second Party”):</w:t>
      </w:r>
    </w:p>
    <w:p>
      <w:pPr>
        <w:spacing w:after="160" w:line="276"/>
      </w:pPr>
      <w:r>
        <w:rPr>
          <w:rFonts w:ascii="Calibri" w:cs="Calibri" w:eastAsia="Calibri" w:hAnsi="Calibri"/>
          <w:color w:val="1F2A33"/>
          <w:sz w:val="20"/>
          <w:szCs w:val="20"/>
        </w:rPr>
        <w:t xml:space="preserve">Charbel AKL, Independent Solutions Architect &amp; Software Designer, with professional address at 105 rue Lauriston, 75116 Paris, France (hereinafter the “Second Party” or “the Editor”), on the other part.</w:t>
      </w:r>
    </w:p>
    <w:p>
      <w:pPr>
        <w:spacing w:after="160" w:line="276"/>
      </w:pPr>
      <w:r>
        <w:rPr>
          <w:rFonts w:ascii="Calibri" w:cs="Calibri" w:eastAsia="Calibri" w:hAnsi="Calibri"/>
          <w:i/>
          <w:iCs/>
          <w:color w:val="45505C"/>
          <w:sz w:val="20"/>
          <w:szCs w:val="20"/>
        </w:rPr>
        <w:t xml:space="preserve">Together, the “Parties.”</w:t>
      </w:r>
    </w:p>
    <w:p>
      <w:pPr>
        <w:keepNext/>
        <w:keepLines/>
        <w:pBdr>
          <w:bottom w:val="single" w:color="AD7A34" w:sz="8" w:space="4"/>
        </w:pBdr>
        <w:spacing w:after="180" w:before="380"/>
      </w:pPr>
      <w:r>
        <w:rPr>
          <w:rFonts w:ascii="Cambria" w:cs="Cambria" w:eastAsia="Cambria" w:hAnsi="Cambria"/>
          <w:b/>
          <w:bCs/>
          <w:color w:val="8C5F22"/>
          <w:sz w:val="25"/>
          <w:szCs w:val="25"/>
        </w:rPr>
        <w:t xml:space="preserve">1.  </w:t>
      </w:r>
      <w:r>
        <w:rPr>
          <w:rFonts w:ascii="Cambria" w:cs="Cambria" w:eastAsia="Cambria" w:hAnsi="Cambria"/>
          <w:b/>
          <w:bCs/>
          <w:color w:val="0C1E33"/>
          <w:sz w:val="25"/>
          <w:szCs w:val="25"/>
        </w:rPr>
        <w:t xml:space="preserve">PURPOSE, CALIBRATION PILOT &amp; CONTINUATION TERMS</w:t>
      </w:r>
    </w:p>
    <w:p>
      <w:pPr>
        <w:pStyle w:val="ListParagraph"/>
        <w:numPr>
          <w:ilvl w:val="0"/>
          <w:numId w:val="2"/>
        </w:numPr>
        <w:spacing w:after="140" w:line="276"/>
      </w:pPr>
      <w:r>
        <w:rPr>
          <w:rFonts w:ascii="Calibri" w:cs="Calibri" w:eastAsia="Calibri" w:hAnsi="Calibri"/>
          <w:b/>
          <w:bCs/>
          <w:color w:val="0C1E33"/>
          <w:sz w:val="20"/>
          <w:szCs w:val="20"/>
        </w:rPr>
        <w:t xml:space="preserve">Dedicated Pilot Calibration (€600 Flat Setup). </w:t>
      </w:r>
      <w:r>
        <w:rPr>
          <w:rFonts w:ascii="Calibri" w:cs="Calibri" w:eastAsia="Calibri" w:hAnsi="Calibri"/>
          <w:color w:val="1F2A33"/>
          <w:sz w:val="20"/>
          <w:szCs w:val="20"/>
        </w:rPr>
        <w:t xml:space="preserve">The Editor configures and calibrates the AI extraction pipeline against one (1) past tender dossier provided by MAN Enterprise, including prompt tailoring for MAN's civil-engineering templates and complex Bill of Quantities (BOQ) parsing. The Pilot concludes with a live evaluation demonstration with MAN's estimating team.</w:t>
      </w:r>
    </w:p>
    <w:p>
      <w:pPr>
        <w:pStyle w:val="ListParagraph"/>
        <w:numPr>
          <w:ilvl w:val="0"/>
          <w:numId w:val="2"/>
        </w:numPr>
        <w:spacing w:after="140" w:line="276"/>
      </w:pPr>
      <w:r>
        <w:rPr>
          <w:rFonts w:ascii="Calibri" w:cs="Calibri" w:eastAsia="Calibri" w:hAnsi="Calibri"/>
          <w:b/>
          <w:bCs/>
          <w:color w:val="0C1E33"/>
          <w:sz w:val="20"/>
          <w:szCs w:val="20"/>
        </w:rPr>
        <w:t xml:space="preserve">Subsidized Investment. </w:t>
      </w:r>
      <w:r>
        <w:rPr>
          <w:rFonts w:ascii="Calibri" w:cs="Calibri" w:eastAsia="Calibri" w:hAnsi="Calibri"/>
          <w:color w:val="1F2A33"/>
          <w:sz w:val="20"/>
          <w:szCs w:val="20"/>
        </w:rPr>
        <w:t xml:space="preserve">This end-to-end adaptation represents 3 to 4 days of dedicated engineering (market value: €2,550–€3,400 HT, at the Bespoke Engineering rate defined in Section 5). The Editor subsidizes the balance of this cost as a commercial investment in the relationship; the €600 fee covers dedicated compute tokens and onboarding setup only.</w:t>
      </w:r>
    </w:p>
    <w:p>
      <w:pPr>
        <w:pStyle w:val="ListParagraph"/>
        <w:numPr>
          <w:ilvl w:val="0"/>
          <w:numId w:val="2"/>
        </w:numPr>
        <w:spacing w:after="140" w:line="276"/>
      </w:pPr>
      <w:r>
        <w:rPr>
          <w:rFonts w:ascii="Calibri" w:cs="Calibri" w:eastAsia="Calibri" w:hAnsi="Calibri"/>
          <w:b/>
          <w:bCs/>
          <w:color w:val="0C1E33"/>
          <w:sz w:val="20"/>
          <w:szCs w:val="20"/>
        </w:rPr>
        <w:t xml:space="preserve">Non-Refundable Pilot Fee &amp; Free Exit. </w:t>
      </w:r>
      <w:r>
        <w:rPr>
          <w:rFonts w:ascii="Calibri" w:cs="Calibri" w:eastAsia="Calibri" w:hAnsi="Calibri"/>
          <w:color w:val="1F2A33"/>
          <w:sz w:val="20"/>
          <w:szCs w:val="20"/>
        </w:rPr>
        <w:t xml:space="preserve">The €600 setup fee is strictly non-refundable once calibration work begins, as it covers the Editor's dedicated engineering time and compute costs regardless of outcome. If, following the live evaluation, MAN Enterprise is not satisfied, the engagement ends at that point: no SaaS subscription is activated and no further payment is owed by either Party. Should MAN Enterprise nonetheless wish to pursue a custom-built alternative on its own Microsoft Copilot Studio tenant, this remains available afterward as a separate, optional engagement under the Editor's standard daily rates (Section 5) — scoped and priced independently, and undertaken only at MAN Enterprise's explicit request.</w:t>
      </w:r>
    </w:p>
    <w:p>
      <w:pPr>
        <w:keepNext/>
        <w:keepLines/>
        <w:pBdr>
          <w:bottom w:val="single" w:color="AD7A34" w:sz="8" w:space="4"/>
        </w:pBdr>
        <w:spacing w:after="180" w:before="380"/>
      </w:pPr>
      <w:r>
        <w:rPr>
          <w:rFonts w:ascii="Cambria" w:cs="Cambria" w:eastAsia="Cambria" w:hAnsi="Cambria"/>
          <w:b/>
          <w:bCs/>
          <w:color w:val="8C5F22"/>
          <w:sz w:val="25"/>
          <w:szCs w:val="25"/>
        </w:rPr>
        <w:t xml:space="preserve">2.  </w:t>
      </w:r>
      <w:r>
        <w:rPr>
          <w:rFonts w:ascii="Cambria" w:cs="Cambria" w:eastAsia="Cambria" w:hAnsi="Cambria"/>
          <w:b/>
          <w:bCs/>
          <w:color w:val="0C1E33"/>
          <w:sz w:val="25"/>
          <w:szCs w:val="25"/>
        </w:rPr>
        <w:t xml:space="preserve">AI ENGINE — CORE CAPABILITIES INCLUDED</w:t>
      </w:r>
    </w:p>
    <w:p>
      <w:pPr>
        <w:spacing w:after="160" w:line="276"/>
      </w:pPr>
      <w:r>
        <w:rPr>
          <w:rFonts w:ascii="Calibri" w:cs="Calibri" w:eastAsia="Calibri" w:hAnsi="Calibri"/>
          <w:color w:val="1F2A33"/>
          <w:sz w:val="20"/>
          <w:szCs w:val="20"/>
        </w:rPr>
        <w:t xml:space="preserve">Beyond drafting raw text, the engine embeds four mechanisms designed to make each subsequent tender faster and more accurate than the last, included at no extra cost throughout both the Pilot and SaaS phases:</w:t>
      </w:r>
    </w:p>
    <w:p>
      <w:pPr>
        <w:pStyle w:val="ListParagraph"/>
        <w:numPr>
          <w:ilvl w:val="0"/>
          <w:numId w:val="2"/>
        </w:numPr>
        <w:spacing w:after="140" w:line="276"/>
      </w:pPr>
      <w:r>
        <w:rPr>
          <w:rFonts w:ascii="Calibri" w:cs="Calibri" w:eastAsia="Calibri" w:hAnsi="Calibri"/>
          <w:b/>
          <w:bCs/>
          <w:color w:val="0C1E33"/>
          <w:sz w:val="20"/>
          <w:szCs w:val="20"/>
        </w:rPr>
        <w:t xml:space="preserve">Adaptive Learning Loop. </w:t>
      </w:r>
      <w:r>
        <w:rPr>
          <w:rFonts w:ascii="Calibri" w:cs="Calibri" w:eastAsia="Calibri" w:hAnsi="Calibri"/>
          <w:color w:val="1F2A33"/>
          <w:sz w:val="20"/>
          <w:szCs w:val="20"/>
        </w:rPr>
        <w:t xml:space="preserve">Whenever MAN's team corrects or refines a generated section, the assistant detects the correction and proposes to remember it — at the user's choice, for this tender only, for similar future tenders, or for all future tenders. Accepted corrections are automatically reused in later generations, so output quality compounds with usage.</w:t>
      </w:r>
    </w:p>
    <w:p>
      <w:pPr>
        <w:pStyle w:val="ListParagraph"/>
        <w:numPr>
          <w:ilvl w:val="0"/>
          <w:numId w:val="2"/>
        </w:numPr>
        <w:spacing w:after="140" w:line="276"/>
      </w:pPr>
      <w:r>
        <w:rPr>
          <w:rFonts w:ascii="Calibri" w:cs="Calibri" w:eastAsia="Calibri" w:hAnsi="Calibri"/>
          <w:b/>
          <w:bCs/>
          <w:color w:val="0C1E33"/>
          <w:sz w:val="20"/>
          <w:szCs w:val="20"/>
        </w:rPr>
        <w:t xml:space="preserve">Calibrated System Instructions. </w:t>
      </w:r>
      <w:r>
        <w:rPr>
          <w:rFonts w:ascii="Calibri" w:cs="Calibri" w:eastAsia="Calibri" w:hAnsi="Calibri"/>
          <w:color w:val="1F2A33"/>
          <w:sz w:val="20"/>
          <w:szCs w:val="20"/>
        </w:rPr>
        <w:t xml:space="preserve">During the Pilot, the Editor tailors the assistant's underlying operating instructions to MAN's civil-engineering vocabulary, tone, and BOQ conventions. This calibration is performed by the Editor as part of onboarding — not as a self-service client setting — and applies automatically to every generation run on MAN's account thereafter.</w:t>
      </w:r>
    </w:p>
    <w:p>
      <w:pPr>
        <w:pStyle w:val="ListParagraph"/>
        <w:numPr>
          <w:ilvl w:val="0"/>
          <w:numId w:val="2"/>
        </w:numPr>
        <w:spacing w:after="140" w:line="276"/>
      </w:pPr>
      <w:r>
        <w:rPr>
          <w:rFonts w:ascii="Calibri" w:cs="Calibri" w:eastAsia="Calibri" w:hAnsi="Calibri"/>
          <w:b/>
          <w:bCs/>
          <w:color w:val="0C1E33"/>
          <w:sz w:val="20"/>
          <w:szCs w:val="20"/>
        </w:rPr>
        <w:t xml:space="preserve">Automatic Template Continuity. </w:t>
      </w:r>
      <w:r>
        <w:rPr>
          <w:rFonts w:ascii="Calibri" w:cs="Calibri" w:eastAsia="Calibri" w:hAnsi="Calibri"/>
          <w:color w:val="1F2A33"/>
          <w:sz w:val="20"/>
          <w:szCs w:val="20"/>
        </w:rPr>
        <w:t xml:space="preserve">If no dedicated MAN Word template is configured, the engine automatically falls back to the most recently completed export as its working template, so formatting stays consistent from the very first tender onward. Fidelity to a complex branded template (custom margins, embedded tables, letterhead) is refined progressively as real MAN documents are processed, starting with the Pilot dossier.</w:t>
      </w:r>
    </w:p>
    <w:p>
      <w:pPr>
        <w:pStyle w:val="ListParagraph"/>
        <w:numPr>
          <w:ilvl w:val="0"/>
          <w:numId w:val="2"/>
        </w:numPr>
        <w:spacing w:after="140" w:line="276"/>
      </w:pPr>
      <w:r>
        <w:rPr>
          <w:rFonts w:ascii="Calibri" w:cs="Calibri" w:eastAsia="Calibri" w:hAnsi="Calibri"/>
          <w:b/>
          <w:bCs/>
          <w:color w:val="0C1E33"/>
          <w:sz w:val="20"/>
          <w:szCs w:val="20"/>
        </w:rPr>
        <w:t xml:space="preserve">Corpus Q&amp;A &amp; Knowledge Capture. </w:t>
      </w:r>
      <w:r>
        <w:rPr>
          <w:rFonts w:ascii="Calibri" w:cs="Calibri" w:eastAsia="Calibri" w:hAnsi="Calibri"/>
          <w:color w:val="1F2A33"/>
          <w:sz w:val="20"/>
          <w:szCs w:val="20"/>
        </w:rPr>
        <w:t xml:space="preserve">MAN's team can query its own knowledge base — past projects, technical library, price references — in natural language at any time, with every answer citing its source document. Confirmed technical or compliance data can be added to that knowledge base directly from the workspace, feeding future generations without waiting for a manual re-upload.</w:t>
      </w:r>
    </w:p>
    <w:p>
      <w:pPr>
        <w:keepNext/>
        <w:keepLines/>
        <w:pBdr>
          <w:bottom w:val="single" w:color="AD7A34" w:sz="8" w:space="4"/>
        </w:pBdr>
        <w:spacing w:after="180" w:before="380"/>
      </w:pPr>
      <w:r>
        <w:rPr>
          <w:rFonts w:ascii="Cambria" w:cs="Cambria" w:eastAsia="Cambria" w:hAnsi="Cambria"/>
          <w:b/>
          <w:bCs/>
          <w:color w:val="8C5F22"/>
          <w:sz w:val="25"/>
          <w:szCs w:val="25"/>
        </w:rPr>
        <w:t xml:space="preserve">3.  </w:t>
      </w:r>
      <w:r>
        <w:rPr>
          <w:rFonts w:ascii="Cambria" w:cs="Cambria" w:eastAsia="Cambria" w:hAnsi="Cambria"/>
          <w:b/>
          <w:bCs/>
          <w:color w:val="0C1E33"/>
          <w:sz w:val="25"/>
          <w:szCs w:val="25"/>
        </w:rPr>
        <w:t xml:space="preserve">COMMERCIAL FRAMEWORK &amp; PRODUCTION SAAS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41"/>
        <w:gridCol w:w="2329"/>
        <w:gridCol w:w="5436"/>
      </w:tblGrid>
      <w:tr>
        <w:tc>
          <w:tcPr>
            <w:tcW w:type="dxa" w:w="1941"/>
            <w:tcBorders>
              <w:top w:val="single" w:color="C3CBD6" w:sz="3"/>
              <w:left w:val="single" w:color="C3CBD6" w:sz="3"/>
              <w:bottom w:val="single" w:color="C3CBD6" w:sz="3"/>
              <w:right w:val="single" w:color="C3CBD6" w:sz="3"/>
            </w:tcBorders>
            <w:shd w:fill="16324F" w:color="auto" w:val="clear"/>
            <w:tcMar>
              <w:top w:type="dxa" w:w="110"/>
              <w:left w:type="dxa" w:w="130"/>
              <w:bottom w:type="dxa" w:w="110"/>
              <w:right w:type="dxa" w:w="130"/>
            </w:tcMar>
            <w:vAlign w:val="center"/>
          </w:tcPr>
          <w:p>
            <w:r>
              <w:rPr>
                <w:rFonts w:ascii="Calibri" w:cs="Calibri" w:eastAsia="Calibri" w:hAnsi="Calibri"/>
                <w:b/>
                <w:bCs/>
                <w:color w:val="FFFFFF"/>
                <w:sz w:val="18"/>
                <w:szCs w:val="18"/>
              </w:rPr>
              <w:t xml:space="preserve">Engagement Phase</w:t>
            </w:r>
          </w:p>
        </w:tc>
        <w:tc>
          <w:tcPr>
            <w:tcW w:type="dxa" w:w="2329"/>
            <w:tcBorders>
              <w:top w:val="single" w:color="C3CBD6" w:sz="3"/>
              <w:left w:val="single" w:color="C3CBD6" w:sz="3"/>
              <w:bottom w:val="single" w:color="C3CBD6" w:sz="3"/>
              <w:right w:val="single" w:color="C3CBD6" w:sz="3"/>
            </w:tcBorders>
            <w:shd w:fill="16324F" w:color="auto" w:val="clear"/>
            <w:tcMar>
              <w:top w:type="dxa" w:w="110"/>
              <w:left w:type="dxa" w:w="130"/>
              <w:bottom w:type="dxa" w:w="110"/>
              <w:right w:type="dxa" w:w="130"/>
            </w:tcMar>
            <w:vAlign w:val="center"/>
          </w:tcPr>
          <w:p>
            <w:r>
              <w:rPr>
                <w:rFonts w:ascii="Calibri" w:cs="Calibri" w:eastAsia="Calibri" w:hAnsi="Calibri"/>
                <w:b/>
                <w:bCs/>
                <w:color w:val="FFFFFF"/>
                <w:sz w:val="18"/>
                <w:szCs w:val="18"/>
              </w:rPr>
              <w:t xml:space="preserve">Pricing Model</w:t>
            </w:r>
          </w:p>
        </w:tc>
        <w:tc>
          <w:tcPr>
            <w:tcW w:type="dxa" w:w="5436"/>
            <w:tcBorders>
              <w:top w:val="single" w:color="C3CBD6" w:sz="3"/>
              <w:left w:val="single" w:color="C3CBD6" w:sz="3"/>
              <w:bottom w:val="single" w:color="C3CBD6" w:sz="3"/>
              <w:right w:val="single" w:color="C3CBD6" w:sz="3"/>
            </w:tcBorders>
            <w:shd w:fill="16324F" w:color="auto" w:val="clear"/>
            <w:tcMar>
              <w:top w:type="dxa" w:w="110"/>
              <w:left w:type="dxa" w:w="130"/>
              <w:bottom w:type="dxa" w:w="110"/>
              <w:right w:type="dxa" w:w="130"/>
            </w:tcMar>
            <w:vAlign w:val="center"/>
          </w:tcPr>
          <w:p>
            <w:r>
              <w:rPr>
                <w:rFonts w:ascii="Calibri" w:cs="Calibri" w:eastAsia="Calibri" w:hAnsi="Calibri"/>
                <w:b/>
                <w:bCs/>
                <w:color w:val="FFFFFF"/>
                <w:sz w:val="18"/>
                <w:szCs w:val="18"/>
              </w:rPr>
              <w:t xml:space="preserve">Operational Scope &amp; Boundaries</w:t>
            </w:r>
          </w:p>
        </w:tc>
      </w:tr>
      <w:tr>
        <w:tc>
          <w:tcPr>
            <w:tcW w:type="dxa" w:w="1941"/>
            <w:tcBorders>
              <w:top w:val="single" w:color="C3CBD6" w:sz="3"/>
              <w:left w:val="single" w:color="C3CBD6" w:sz="3"/>
              <w:bottom w:val="single" w:color="C3CBD6" w:sz="3"/>
              <w:right w:val="single" w:color="C3CBD6" w:sz="3"/>
            </w:tcBorders>
            <w:shd w:fill="E9EEF4" w:color="auto" w:val="clear"/>
            <w:tcMar>
              <w:top w:type="dxa" w:w="110"/>
              <w:left w:type="dxa" w:w="130"/>
              <w:bottom w:type="dxa" w:w="110"/>
              <w:right w:type="dxa" w:w="130"/>
            </w:tcMar>
            <w:vAlign w:val="center"/>
          </w:tcPr>
          <w:p>
            <w:pPr>
              <w:spacing w:after="0" w:line="250"/>
            </w:pPr>
            <w:r>
              <w:rPr>
                <w:rFonts w:ascii="Calibri" w:cs="Calibri" w:eastAsia="Calibri" w:hAnsi="Calibri"/>
                <w:b/>
                <w:bCs/>
                <w:color w:val="0C1E33"/>
                <w:sz w:val="18"/>
                <w:szCs w:val="18"/>
              </w:rPr>
              <w:t xml:space="preserve">Phase 1: Pilot &amp; Calibration</w:t>
            </w:r>
          </w:p>
        </w:tc>
        <w:tc>
          <w:tcPr>
            <w:tcW w:type="dxa" w:w="2329"/>
            <w:tcBorders>
              <w:top w:val="single" w:color="C3CBD6" w:sz="3"/>
              <w:left w:val="single" w:color="C3CBD6" w:sz="3"/>
              <w:bottom w:val="single" w:color="C3CBD6" w:sz="3"/>
              <w:right w:val="single" w:color="C3CBD6" w:sz="3"/>
            </w:tcBorders>
            <w:tcMar>
              <w:top w:type="dxa" w:w="110"/>
              <w:left w:type="dxa" w:w="130"/>
              <w:bottom w:type="dxa" w:w="110"/>
              <w:right w:type="dxa" w:w="130"/>
            </w:tcMar>
            <w:vAlign w:val="center"/>
          </w:tcPr>
          <w:p>
            <w:pPr>
              <w:spacing w:after="0" w:line="250"/>
            </w:pPr>
            <w:r>
              <w:rPr>
                <w:rFonts w:ascii="Calibri" w:cs="Calibri" w:eastAsia="Calibri" w:hAnsi="Calibri"/>
                <w:b w:val="false"/>
                <w:bCs w:val="false"/>
                <w:color w:val="1F2A33"/>
                <w:sz w:val="18"/>
                <w:szCs w:val="18"/>
              </w:rPr>
              <w:t xml:space="preserve">€600 Flat (Non-refundable setup)</w:t>
            </w:r>
          </w:p>
        </w:tc>
        <w:tc>
          <w:tcPr>
            <w:tcW w:type="dxa" w:w="5436"/>
            <w:tcBorders>
              <w:top w:val="single" w:color="C3CBD6" w:sz="3"/>
              <w:left w:val="single" w:color="C3CBD6" w:sz="3"/>
              <w:bottom w:val="single" w:color="C3CBD6" w:sz="3"/>
              <w:right w:val="single" w:color="C3CBD6" w:sz="3"/>
            </w:tcBorders>
            <w:tcMar>
              <w:top w:type="dxa" w:w="110"/>
              <w:left w:type="dxa" w:w="130"/>
              <w:bottom w:type="dxa" w:w="110"/>
              <w:right w:type="dxa" w:w="130"/>
            </w:tcMar>
            <w:vAlign w:val="center"/>
          </w:tcPr>
          <w:p>
            <w:pPr>
              <w:spacing w:after="0" w:line="250"/>
            </w:pPr>
            <w:r>
              <w:rPr>
                <w:rFonts w:ascii="Calibri" w:cs="Calibri" w:eastAsia="Calibri" w:hAnsi="Calibri"/>
                <w:b w:val="false"/>
                <w:bCs w:val="false"/>
                <w:color w:val="1F2A33"/>
                <w:sz w:val="18"/>
                <w:szCs w:val="18"/>
              </w:rPr>
              <w:t xml:space="preserve">Ingestion of 1 historical tender dossier; calibration of technical parsing; adaptation to MAN formats; live evaluation demo with the estimating team.</w:t>
            </w:r>
          </w:p>
        </w:tc>
      </w:tr>
      <w:tr>
        <w:tc>
          <w:tcPr>
            <w:tcW w:type="dxa" w:w="1941"/>
            <w:tcBorders>
              <w:top w:val="single" w:color="C3CBD6" w:sz="3"/>
              <w:left w:val="single" w:color="C3CBD6" w:sz="3"/>
              <w:bottom w:val="single" w:color="C3CBD6" w:sz="3"/>
              <w:right w:val="single" w:color="C3CBD6" w:sz="3"/>
            </w:tcBorders>
            <w:shd w:fill="E9EEF4" w:color="auto" w:val="clear"/>
            <w:tcMar>
              <w:top w:type="dxa" w:w="110"/>
              <w:left w:type="dxa" w:w="130"/>
              <w:bottom w:type="dxa" w:w="110"/>
              <w:right w:type="dxa" w:w="130"/>
            </w:tcMar>
            <w:vAlign w:val="center"/>
          </w:tcPr>
          <w:p>
            <w:pPr>
              <w:spacing w:after="0" w:line="250"/>
            </w:pPr>
            <w:r>
              <w:rPr>
                <w:rFonts w:ascii="Calibri" w:cs="Calibri" w:eastAsia="Calibri" w:hAnsi="Calibri"/>
                <w:b/>
                <w:bCs/>
                <w:color w:val="0C1E33"/>
                <w:sz w:val="18"/>
                <w:szCs w:val="18"/>
              </w:rPr>
              <w:t xml:space="preserve">Phase 2: SaaS Production</w:t>
            </w:r>
          </w:p>
        </w:tc>
        <w:tc>
          <w:tcPr>
            <w:tcW w:type="dxa" w:w="2329"/>
            <w:tcBorders>
              <w:top w:val="single" w:color="C3CBD6" w:sz="3"/>
              <w:left w:val="single" w:color="C3CBD6" w:sz="3"/>
              <w:bottom w:val="single" w:color="C3CBD6" w:sz="3"/>
              <w:right w:val="single" w:color="C3CBD6" w:sz="3"/>
            </w:tcBorders>
            <w:tcMar>
              <w:top w:type="dxa" w:w="110"/>
              <w:left w:type="dxa" w:w="130"/>
              <w:bottom w:type="dxa" w:w="110"/>
              <w:right w:type="dxa" w:w="130"/>
            </w:tcMar>
            <w:vAlign w:val="center"/>
          </w:tcPr>
          <w:p>
            <w:pPr>
              <w:spacing w:after="0" w:line="250"/>
            </w:pPr>
            <w:r>
              <w:rPr>
                <w:rFonts w:ascii="Calibri" w:cs="Calibri" w:eastAsia="Calibri" w:hAnsi="Calibri"/>
                <w:b w:val="false"/>
                <w:bCs w:val="false"/>
                <w:color w:val="1F2A33"/>
                <w:sz w:val="18"/>
                <w:szCs w:val="18"/>
              </w:rPr>
              <w:t xml:space="preserve">€750 / month (Flat fee, billed quarterly)</w:t>
            </w:r>
          </w:p>
        </w:tc>
        <w:tc>
          <w:tcPr>
            <w:tcW w:type="dxa" w:w="5436"/>
            <w:tcBorders>
              <w:top w:val="single" w:color="C3CBD6" w:sz="3"/>
              <w:left w:val="single" w:color="C3CBD6" w:sz="3"/>
              <w:bottom w:val="single" w:color="C3CBD6" w:sz="3"/>
              <w:right w:val="single" w:color="C3CBD6" w:sz="3"/>
            </w:tcBorders>
            <w:tcMar>
              <w:top w:type="dxa" w:w="110"/>
              <w:left w:type="dxa" w:w="130"/>
              <w:bottom w:type="dxa" w:w="110"/>
              <w:right w:type="dxa" w:w="130"/>
            </w:tcMar>
            <w:vAlign w:val="center"/>
          </w:tcPr>
          <w:p>
            <w:pPr>
              <w:spacing w:after="0" w:line="250"/>
            </w:pPr>
            <w:r>
              <w:rPr>
                <w:rFonts w:ascii="Calibri" w:cs="Calibri" w:eastAsia="Calibri" w:hAnsi="Calibri"/>
                <w:b w:val="false"/>
                <w:bCs w:val="false"/>
                <w:color w:val="1F2A33"/>
                <w:sz w:val="18"/>
                <w:szCs w:val="18"/>
              </w:rPr>
              <w:t xml:space="preserve">Up to 8 major tenders/month; 5 user seats; zero development fees; all third-party AI compute tokens, cloud hosting, and continuous maintenance included. 12-month commitment. Extra tenders: €80/unit.*</w:t>
            </w:r>
          </w:p>
        </w:tc>
      </w:tr>
    </w:tbl>
    <w:p>
      <w:pPr>
        <w:spacing w:after="120" w:before="100"/>
      </w:pPr>
      <w:r>
        <w:rPr>
          <w:rFonts w:ascii="Calibri" w:cs="Calibri" w:eastAsia="Calibri" w:hAnsi="Calibri"/>
          <w:i/>
          <w:iCs/>
          <w:color w:val="45505C"/>
          <w:sz w:val="17"/>
          <w:szCs w:val="17"/>
        </w:rPr>
        <w:t xml:space="preserve">* Marginal, compute-only rate applicable beyond the monthly quota. Not directly comparable to the blended average cost of tenders within the €750 flat package, which also amortizes hosting, maintenance and support across all 8 included tenders.</w:t>
      </w:r>
    </w:p>
    <w:p>
      <w:pPr>
        <w:keepNext/>
        <w:keepLines/>
        <w:pBdr>
          <w:bottom w:val="single" w:color="AD7A34" w:sz="8" w:space="4"/>
        </w:pBdr>
        <w:spacing w:after="180" w:before="380"/>
      </w:pPr>
      <w:r>
        <w:rPr>
          <w:rFonts w:ascii="Cambria" w:cs="Cambria" w:eastAsia="Cambria" w:hAnsi="Cambria"/>
          <w:b/>
          <w:bCs/>
          <w:color w:val="8C5F22"/>
          <w:sz w:val="25"/>
          <w:szCs w:val="25"/>
        </w:rPr>
        <w:t xml:space="preserve">4.  </w:t>
      </w:r>
      <w:r>
        <w:rPr>
          <w:rFonts w:ascii="Cambria" w:cs="Cambria" w:eastAsia="Cambria" w:hAnsi="Cambria"/>
          <w:b/>
          <w:bCs/>
          <w:color w:val="0C1E33"/>
          <w:sz w:val="25"/>
          <w:szCs w:val="25"/>
        </w:rPr>
        <w:t xml:space="preserve">SCOPE SEPARATION: STANDARD SAAS VS. CLIENT-SPECIFIC BESPOKE WORK</w:t>
      </w:r>
    </w:p>
    <w:p>
      <w:pPr>
        <w:spacing w:after="160" w:line="276"/>
      </w:pPr>
      <w:r>
        <w:rPr>
          <w:rFonts w:ascii="Calibri" w:cs="Calibri" w:eastAsia="Calibri" w:hAnsi="Calibri"/>
          <w:color w:val="1F2A33"/>
          <w:sz w:val="20"/>
          <w:szCs w:val="20"/>
        </w:rPr>
        <w:t xml:space="preserve">The €750/month subscription covers access to the Editor's core standardized software engine. Custom bilateral integrations into MAN's internal systems (ERP/accounting APIs, bespoke SharePoint architectures, on-premise scripts) are executed as separate Change Requests billed under the rate card below:</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329"/>
        <w:gridCol w:w="1747"/>
        <w:gridCol w:w="5630"/>
      </w:tblGrid>
      <w:tr>
        <w:tc>
          <w:tcPr>
            <w:tcW w:type="dxa" w:w="2329"/>
            <w:tcBorders>
              <w:top w:val="single" w:color="C3CBD6" w:sz="3"/>
              <w:left w:val="single" w:color="C3CBD6" w:sz="3"/>
              <w:bottom w:val="single" w:color="C3CBD6" w:sz="3"/>
              <w:right w:val="single" w:color="C3CBD6" w:sz="3"/>
            </w:tcBorders>
            <w:shd w:fill="16324F" w:color="auto" w:val="clear"/>
            <w:tcMar>
              <w:top w:type="dxa" w:w="110"/>
              <w:left w:type="dxa" w:w="130"/>
              <w:bottom w:type="dxa" w:w="110"/>
              <w:right w:type="dxa" w:w="130"/>
            </w:tcMar>
            <w:vAlign w:val="center"/>
          </w:tcPr>
          <w:p>
            <w:r>
              <w:rPr>
                <w:rFonts w:ascii="Calibri" w:cs="Calibri" w:eastAsia="Calibri" w:hAnsi="Calibri"/>
                <w:b/>
                <w:bCs/>
                <w:color w:val="FFFFFF"/>
                <w:sz w:val="18"/>
                <w:szCs w:val="18"/>
              </w:rPr>
              <w:t xml:space="preserve">Service Category</w:t>
            </w:r>
          </w:p>
        </w:tc>
        <w:tc>
          <w:tcPr>
            <w:tcW w:type="dxa" w:w="1747"/>
            <w:tcBorders>
              <w:top w:val="single" w:color="C3CBD6" w:sz="3"/>
              <w:left w:val="single" w:color="C3CBD6" w:sz="3"/>
              <w:bottom w:val="single" w:color="C3CBD6" w:sz="3"/>
              <w:right w:val="single" w:color="C3CBD6" w:sz="3"/>
            </w:tcBorders>
            <w:shd w:fill="16324F" w:color="auto" w:val="clear"/>
            <w:tcMar>
              <w:top w:type="dxa" w:w="110"/>
              <w:left w:type="dxa" w:w="130"/>
              <w:bottom w:type="dxa" w:w="110"/>
              <w:right w:type="dxa" w:w="130"/>
            </w:tcMar>
            <w:vAlign w:val="center"/>
          </w:tcPr>
          <w:p>
            <w:r>
              <w:rPr>
                <w:rFonts w:ascii="Calibri" w:cs="Calibri" w:eastAsia="Calibri" w:hAnsi="Calibri"/>
                <w:b/>
                <w:bCs/>
                <w:color w:val="FFFFFF"/>
                <w:sz w:val="18"/>
                <w:szCs w:val="18"/>
              </w:rPr>
              <w:t xml:space="preserve">Daily Rate (TJM)</w:t>
            </w:r>
          </w:p>
        </w:tc>
        <w:tc>
          <w:tcPr>
            <w:tcW w:type="dxa" w:w="5630"/>
            <w:tcBorders>
              <w:top w:val="single" w:color="C3CBD6" w:sz="3"/>
              <w:left w:val="single" w:color="C3CBD6" w:sz="3"/>
              <w:bottom w:val="single" w:color="C3CBD6" w:sz="3"/>
              <w:right w:val="single" w:color="C3CBD6" w:sz="3"/>
            </w:tcBorders>
            <w:shd w:fill="16324F" w:color="auto" w:val="clear"/>
            <w:tcMar>
              <w:top w:type="dxa" w:w="110"/>
              <w:left w:type="dxa" w:w="130"/>
              <w:bottom w:type="dxa" w:w="110"/>
              <w:right w:type="dxa" w:w="130"/>
            </w:tcMar>
            <w:vAlign w:val="center"/>
          </w:tcPr>
          <w:p>
            <w:r>
              <w:rPr>
                <w:rFonts w:ascii="Calibri" w:cs="Calibri" w:eastAsia="Calibri" w:hAnsi="Calibri"/>
                <w:b/>
                <w:bCs/>
                <w:color w:val="FFFFFF"/>
                <w:sz w:val="18"/>
                <w:szCs w:val="18"/>
              </w:rPr>
              <w:t xml:space="preserve">Scope of Interventions</w:t>
            </w:r>
          </w:p>
        </w:tc>
      </w:tr>
      <w:tr>
        <w:tc>
          <w:tcPr>
            <w:tcW w:type="dxa" w:w="2329"/>
            <w:tcBorders>
              <w:top w:val="single" w:color="C3CBD6" w:sz="3"/>
              <w:left w:val="single" w:color="C3CBD6" w:sz="3"/>
              <w:bottom w:val="single" w:color="C3CBD6" w:sz="3"/>
              <w:right w:val="single" w:color="C3CBD6" w:sz="3"/>
            </w:tcBorders>
            <w:shd w:fill="E9EEF4" w:color="auto" w:val="clear"/>
            <w:tcMar>
              <w:top w:type="dxa" w:w="110"/>
              <w:left w:type="dxa" w:w="130"/>
              <w:bottom w:type="dxa" w:w="110"/>
              <w:right w:type="dxa" w:w="130"/>
            </w:tcMar>
            <w:vAlign w:val="center"/>
          </w:tcPr>
          <w:p>
            <w:pPr>
              <w:spacing w:after="0" w:line="250"/>
            </w:pPr>
            <w:r>
              <w:rPr>
                <w:rFonts w:ascii="Calibri" w:cs="Calibri" w:eastAsia="Calibri" w:hAnsi="Calibri"/>
                <w:b/>
                <w:bCs/>
                <w:color w:val="0C1E33"/>
                <w:sz w:val="18"/>
                <w:szCs w:val="18"/>
              </w:rPr>
              <w:t xml:space="preserve">Bespoke Engineering &amp; Dedicated Development</w:t>
            </w:r>
          </w:p>
        </w:tc>
        <w:tc>
          <w:tcPr>
            <w:tcW w:type="dxa" w:w="1747"/>
            <w:tcBorders>
              <w:top w:val="single" w:color="C3CBD6" w:sz="3"/>
              <w:left w:val="single" w:color="C3CBD6" w:sz="3"/>
              <w:bottom w:val="single" w:color="C3CBD6" w:sz="3"/>
              <w:right w:val="single" w:color="C3CBD6" w:sz="3"/>
            </w:tcBorders>
            <w:tcMar>
              <w:top w:type="dxa" w:w="110"/>
              <w:left w:type="dxa" w:w="130"/>
              <w:bottom w:type="dxa" w:w="110"/>
              <w:right w:type="dxa" w:w="130"/>
            </w:tcMar>
            <w:vAlign w:val="center"/>
          </w:tcPr>
          <w:p>
            <w:pPr>
              <w:spacing w:after="0" w:line="250"/>
            </w:pPr>
            <w:r>
              <w:rPr>
                <w:rFonts w:ascii="Calibri" w:cs="Calibri" w:eastAsia="Calibri" w:hAnsi="Calibri"/>
                <w:b w:val="false"/>
                <w:bCs w:val="false"/>
                <w:color w:val="1F2A33"/>
                <w:sz w:val="18"/>
                <w:szCs w:val="18"/>
              </w:rPr>
              <w:t xml:space="preserve">€850 HT / day</w:t>
            </w:r>
          </w:p>
        </w:tc>
        <w:tc>
          <w:tcPr>
            <w:tcW w:type="dxa" w:w="5630"/>
            <w:tcBorders>
              <w:top w:val="single" w:color="C3CBD6" w:sz="3"/>
              <w:left w:val="single" w:color="C3CBD6" w:sz="3"/>
              <w:bottom w:val="single" w:color="C3CBD6" w:sz="3"/>
              <w:right w:val="single" w:color="C3CBD6" w:sz="3"/>
            </w:tcBorders>
            <w:tcMar>
              <w:top w:type="dxa" w:w="110"/>
              <w:left w:type="dxa" w:w="130"/>
              <w:bottom w:type="dxa" w:w="110"/>
              <w:right w:type="dxa" w:w="130"/>
            </w:tcMar>
            <w:vAlign w:val="center"/>
          </w:tcPr>
          <w:p>
            <w:pPr>
              <w:spacing w:after="0" w:line="250"/>
            </w:pPr>
            <w:r>
              <w:rPr>
                <w:rFonts w:ascii="Calibri" w:cs="Calibri" w:eastAsia="Calibri" w:hAnsi="Calibri"/>
                <w:b w:val="false"/>
                <w:bCs w:val="false"/>
                <w:color w:val="1F2A33"/>
                <w:sz w:val="18"/>
                <w:szCs w:val="18"/>
              </w:rPr>
              <w:t xml:space="preserve">Custom bilateral API pipelines (ERP, database extractors, proprietary workflow automations inside MAN's private tenant).</w:t>
            </w:r>
          </w:p>
        </w:tc>
      </w:tr>
      <w:tr>
        <w:tc>
          <w:tcPr>
            <w:tcW w:type="dxa" w:w="2329"/>
            <w:tcBorders>
              <w:top w:val="single" w:color="C3CBD6" w:sz="3"/>
              <w:left w:val="single" w:color="C3CBD6" w:sz="3"/>
              <w:bottom w:val="single" w:color="C3CBD6" w:sz="3"/>
              <w:right w:val="single" w:color="C3CBD6" w:sz="3"/>
            </w:tcBorders>
            <w:shd w:fill="E9EEF4" w:color="auto" w:val="clear"/>
            <w:tcMar>
              <w:top w:type="dxa" w:w="110"/>
              <w:left w:type="dxa" w:w="130"/>
              <w:bottom w:type="dxa" w:w="110"/>
              <w:right w:type="dxa" w:w="130"/>
            </w:tcMar>
            <w:vAlign w:val="center"/>
          </w:tcPr>
          <w:p>
            <w:pPr>
              <w:spacing w:after="0" w:line="250"/>
            </w:pPr>
            <w:r>
              <w:rPr>
                <w:rFonts w:ascii="Calibri" w:cs="Calibri" w:eastAsia="Calibri" w:hAnsi="Calibri"/>
                <w:b/>
                <w:bCs/>
                <w:color w:val="0C1E33"/>
                <w:sz w:val="18"/>
                <w:szCs w:val="18"/>
              </w:rPr>
              <w:t xml:space="preserve">Architecture, Strategic Scoping &amp; Oversight</w:t>
            </w:r>
          </w:p>
        </w:tc>
        <w:tc>
          <w:tcPr>
            <w:tcW w:type="dxa" w:w="1747"/>
            <w:tcBorders>
              <w:top w:val="single" w:color="C3CBD6" w:sz="3"/>
              <w:left w:val="single" w:color="C3CBD6" w:sz="3"/>
              <w:bottom w:val="single" w:color="C3CBD6" w:sz="3"/>
              <w:right w:val="single" w:color="C3CBD6" w:sz="3"/>
            </w:tcBorders>
            <w:tcMar>
              <w:top w:type="dxa" w:w="110"/>
              <w:left w:type="dxa" w:w="130"/>
              <w:bottom w:type="dxa" w:w="110"/>
              <w:right w:type="dxa" w:w="130"/>
            </w:tcMar>
            <w:vAlign w:val="center"/>
          </w:tcPr>
          <w:p>
            <w:pPr>
              <w:spacing w:after="0" w:line="250"/>
            </w:pPr>
            <w:r>
              <w:rPr>
                <w:rFonts w:ascii="Calibri" w:cs="Calibri" w:eastAsia="Calibri" w:hAnsi="Calibri"/>
                <w:b w:val="false"/>
                <w:bCs w:val="false"/>
                <w:color w:val="1F2A33"/>
                <w:sz w:val="18"/>
                <w:szCs w:val="18"/>
              </w:rPr>
              <w:t xml:space="preserve">€1,050 HT / day</w:t>
            </w:r>
          </w:p>
        </w:tc>
        <w:tc>
          <w:tcPr>
            <w:tcW w:type="dxa" w:w="5630"/>
            <w:tcBorders>
              <w:top w:val="single" w:color="C3CBD6" w:sz="3"/>
              <w:left w:val="single" w:color="C3CBD6" w:sz="3"/>
              <w:bottom w:val="single" w:color="C3CBD6" w:sz="3"/>
              <w:right w:val="single" w:color="C3CBD6" w:sz="3"/>
            </w:tcBorders>
            <w:tcMar>
              <w:top w:type="dxa" w:w="110"/>
              <w:left w:type="dxa" w:w="130"/>
              <w:bottom w:type="dxa" w:w="110"/>
              <w:right w:type="dxa" w:w="130"/>
            </w:tcMar>
            <w:vAlign w:val="center"/>
          </w:tcPr>
          <w:p>
            <w:pPr>
              <w:spacing w:after="0" w:line="250"/>
            </w:pPr>
            <w:r>
              <w:rPr>
                <w:rFonts w:ascii="Calibri" w:cs="Calibri" w:eastAsia="Calibri" w:hAnsi="Calibri"/>
                <w:b w:val="false"/>
                <w:bCs w:val="false"/>
                <w:color w:val="1F2A33"/>
                <w:sz w:val="18"/>
                <w:szCs w:val="18"/>
              </w:rPr>
              <w:t xml:space="preserve">High-level architecture design, CISO security liaison, strategic prompt engineering for mega-tenders.</w:t>
            </w:r>
          </w:p>
        </w:tc>
      </w:tr>
    </w:tbl>
    <w:p>
      <w:pPr>
        <w:keepNext/>
        <w:keepLines/>
        <w:pBdr>
          <w:bottom w:val="single" w:color="AD7A34" w:sz="8" w:space="4"/>
        </w:pBdr>
        <w:spacing w:after="180" w:before="380"/>
      </w:pPr>
      <w:r>
        <w:rPr>
          <w:rFonts w:ascii="Cambria" w:cs="Cambria" w:eastAsia="Cambria" w:hAnsi="Cambria"/>
          <w:b/>
          <w:bCs/>
          <w:color w:val="8C5F22"/>
          <w:sz w:val="25"/>
          <w:szCs w:val="25"/>
        </w:rPr>
        <w:t xml:space="preserve">5.  </w:t>
      </w:r>
      <w:r>
        <w:rPr>
          <w:rFonts w:ascii="Cambria" w:cs="Cambria" w:eastAsia="Cambria" w:hAnsi="Cambria"/>
          <w:b/>
          <w:bCs/>
          <w:color w:val="0C1E33"/>
          <w:sz w:val="25"/>
          <w:szCs w:val="25"/>
        </w:rPr>
        <w:t xml:space="preserve">THIRD-PARTY AI APIS &amp; MODERN AI ENGINEERING METHODOLOGY</w:t>
      </w:r>
    </w:p>
    <w:p>
      <w:pPr>
        <w:pStyle w:val="ListParagraph"/>
        <w:numPr>
          <w:ilvl w:val="0"/>
          <w:numId w:val="2"/>
        </w:numPr>
        <w:spacing w:after="140" w:line="276"/>
      </w:pPr>
      <w:r>
        <w:rPr>
          <w:rFonts w:ascii="Calibri" w:cs="Calibri" w:eastAsia="Calibri" w:hAnsi="Calibri"/>
          <w:b/>
          <w:bCs/>
          <w:color w:val="0C1E33"/>
          <w:sz w:val="20"/>
          <w:szCs w:val="20"/>
        </w:rPr>
        <w:t xml:space="preserve">Client Authorization &amp; Third-Party APIs. </w:t>
      </w:r>
      <w:r>
        <w:rPr>
          <w:rFonts w:ascii="Calibri" w:cs="Calibri" w:eastAsia="Calibri" w:hAnsi="Calibri"/>
          <w:color w:val="1F2A33"/>
          <w:sz w:val="20"/>
          <w:szCs w:val="20"/>
        </w:rPr>
        <w:t xml:space="preserve">The software operates via enterprise APIs provided by independent vendors (OpenAI, Anthropic, Azure). The Editor applies commercially available privacy parameters and provides an obligation of means (obligation de moyens). The Editor is not liable for upstream provider outages or policy shifts.</w:t>
      </w:r>
    </w:p>
    <w:p>
      <w:pPr>
        <w:pStyle w:val="ListParagraph"/>
        <w:numPr>
          <w:ilvl w:val="0"/>
          <w:numId w:val="2"/>
        </w:numPr>
        <w:spacing w:after="140" w:line="276"/>
      </w:pPr>
      <w:r>
        <w:rPr>
          <w:rFonts w:ascii="Calibri" w:cs="Calibri" w:eastAsia="Calibri" w:hAnsi="Calibri"/>
          <w:b/>
          <w:bCs/>
          <w:color w:val="0C1E33"/>
          <w:sz w:val="20"/>
          <w:szCs w:val="20"/>
        </w:rPr>
        <w:t xml:space="preserve">Modern AI Engineering. </w:t>
      </w:r>
      <w:r>
        <w:rPr>
          <w:rFonts w:ascii="Calibri" w:cs="Calibri" w:eastAsia="Calibri" w:hAnsi="Calibri"/>
          <w:color w:val="1F2A33"/>
          <w:sz w:val="20"/>
          <w:szCs w:val="20"/>
        </w:rPr>
        <w:t xml:space="preserve">The Editor utilizes AI development assistants and specialized LLM APIs to build, test, and maintain the software. MAN Enterprise confirms this is accepted industry practice and waives any claim regarding the use of AI tools in deliverable production.</w:t>
      </w:r>
    </w:p>
    <w:p>
      <w:pPr>
        <w:keepNext/>
        <w:keepLines/>
        <w:pBdr>
          <w:bottom w:val="single" w:color="AD7A34" w:sz="8" w:space="4"/>
        </w:pBdr>
        <w:spacing w:after="180" w:before="380"/>
      </w:pPr>
      <w:r>
        <w:rPr>
          <w:rFonts w:ascii="Cambria" w:cs="Cambria" w:eastAsia="Cambria" w:hAnsi="Cambria"/>
          <w:b/>
          <w:bCs/>
          <w:color w:val="8C5F22"/>
          <w:sz w:val="25"/>
          <w:szCs w:val="25"/>
        </w:rPr>
        <w:t xml:space="preserve">6.  </w:t>
      </w:r>
      <w:r>
        <w:rPr>
          <w:rFonts w:ascii="Cambria" w:cs="Cambria" w:eastAsia="Cambria" w:hAnsi="Cambria"/>
          <w:b/>
          <w:bCs/>
          <w:color w:val="0C1E33"/>
          <w:sz w:val="25"/>
          <w:szCs w:val="25"/>
        </w:rPr>
        <w:t xml:space="preserve">INTELLECTUAL PROPERTY (100% EDITOR ASSET)</w:t>
      </w:r>
    </w:p>
    <w:p>
      <w:pPr>
        <w:pStyle w:val="ListParagraph"/>
        <w:numPr>
          <w:ilvl w:val="0"/>
          <w:numId w:val="2"/>
        </w:numPr>
        <w:spacing w:after="140" w:line="276"/>
      </w:pPr>
      <w:r>
        <w:rPr>
          <w:rFonts w:ascii="Calibri" w:cs="Calibri" w:eastAsia="Calibri" w:hAnsi="Calibri"/>
          <w:b/>
          <w:bCs/>
          <w:color w:val="0C1E33"/>
          <w:sz w:val="20"/>
          <w:szCs w:val="20"/>
        </w:rPr>
        <w:t xml:space="preserve">Exclusive Editor Ownership. </w:t>
      </w:r>
      <w:r>
        <w:rPr>
          <w:rFonts w:ascii="Calibri" w:cs="Calibri" w:eastAsia="Calibri" w:hAnsi="Calibri"/>
          <w:color w:val="1F2A33"/>
          <w:sz w:val="20"/>
          <w:szCs w:val="20"/>
        </w:rPr>
        <w:t xml:space="preserve">The platform, application code, algorithms, extraction logic, and prompt engineering frameworks remain the exclusive worldwide intellectual property of Charbel AKL (“the Editor”). Nothing in this Offer constitutes a transfer, sale, license grant, or work-for-hire arrangement over the underlying platform.</w:t>
      </w:r>
    </w:p>
    <w:p>
      <w:pPr>
        <w:pStyle w:val="ListParagraph"/>
        <w:numPr>
          <w:ilvl w:val="0"/>
          <w:numId w:val="2"/>
        </w:numPr>
        <w:spacing w:after="140" w:line="276"/>
      </w:pPr>
      <w:r>
        <w:rPr>
          <w:rFonts w:ascii="Calibri" w:cs="Calibri" w:eastAsia="Calibri" w:hAnsi="Calibri"/>
          <w:b/>
          <w:bCs/>
          <w:color w:val="0C1E33"/>
          <w:sz w:val="20"/>
          <w:szCs w:val="20"/>
        </w:rPr>
        <w:t xml:space="preserve">No Greater Rights Than Any SaaS Customer. </w:t>
      </w:r>
      <w:r>
        <w:rPr>
          <w:rFonts w:ascii="Calibri" w:cs="Calibri" w:eastAsia="Calibri" w:hAnsi="Calibri"/>
          <w:color w:val="1F2A33"/>
          <w:sz w:val="20"/>
          <w:szCs w:val="20"/>
        </w:rPr>
        <w:t xml:space="preserve">MAN Enterprise's use of the platform is strictly a right of access under this Offer's terms — comparable, in nature and scope, to the rights any Microsoft customer holds over the Microsoft Copilot Studio platform itself: full ownership and control over your own data and configurations, and no ownership, license, or derivative rights whatsoever over the underlying software, models, or engineering that powers it.</w:t>
      </w:r>
    </w:p>
    <w:p>
      <w:pPr>
        <w:pStyle w:val="ListParagraph"/>
        <w:numPr>
          <w:ilvl w:val="0"/>
          <w:numId w:val="2"/>
        </w:numPr>
        <w:spacing w:after="140" w:line="276"/>
      </w:pPr>
      <w:r>
        <w:rPr>
          <w:rFonts w:ascii="Calibri" w:cs="Calibri" w:eastAsia="Calibri" w:hAnsi="Calibri"/>
          <w:b/>
          <w:bCs/>
          <w:color w:val="0C1E33"/>
          <w:sz w:val="20"/>
          <w:szCs w:val="20"/>
        </w:rPr>
        <w:t xml:space="preserve">Client Data Ownership. </w:t>
      </w:r>
      <w:r>
        <w:rPr>
          <w:rFonts w:ascii="Calibri" w:cs="Calibri" w:eastAsia="Calibri" w:hAnsi="Calibri"/>
          <w:color w:val="1F2A33"/>
          <w:sz w:val="20"/>
          <w:szCs w:val="20"/>
        </w:rPr>
        <w:t xml:space="preserve">MAN Enterprise retains 100% exclusive ownership of its corporate tender archives, price books, and confidential bid files, and of the tenant-specific learnings and configurations generated from its own use of the platform.</w:t>
      </w:r>
    </w:p>
    <w:p>
      <w:pPr>
        <w:keepNext/>
        <w:keepLines/>
        <w:pBdr>
          <w:bottom w:val="single" w:color="AD7A34" w:sz="8" w:space="4"/>
        </w:pBdr>
        <w:spacing w:after="180" w:before="380"/>
      </w:pPr>
      <w:r>
        <w:rPr>
          <w:rFonts w:ascii="Cambria" w:cs="Cambria" w:eastAsia="Cambria" w:hAnsi="Cambria"/>
          <w:b/>
          <w:bCs/>
          <w:color w:val="8C5F22"/>
          <w:sz w:val="25"/>
          <w:szCs w:val="25"/>
        </w:rPr>
        <w:t xml:space="preserve">7.  </w:t>
      </w:r>
      <w:r>
        <w:rPr>
          <w:rFonts w:ascii="Cambria" w:cs="Cambria" w:eastAsia="Cambria" w:hAnsi="Cambria"/>
          <w:b/>
          <w:bCs/>
          <w:color w:val="0C1E33"/>
          <w:sz w:val="25"/>
          <w:szCs w:val="25"/>
        </w:rPr>
        <w:t xml:space="preserve">LIMITATION OF LIABILITY &amp; GOVERNING LAW</w:t>
      </w:r>
    </w:p>
    <w:p>
      <w:pPr>
        <w:pStyle w:val="ListParagraph"/>
        <w:numPr>
          <w:ilvl w:val="0"/>
          <w:numId w:val="2"/>
        </w:numPr>
        <w:spacing w:after="140" w:line="276"/>
      </w:pPr>
      <w:r>
        <w:rPr>
          <w:rFonts w:ascii="Calibri" w:cs="Calibri" w:eastAsia="Calibri" w:hAnsi="Calibri"/>
          <w:b/>
          <w:bCs/>
          <w:color w:val="0C1E33"/>
          <w:sz w:val="20"/>
          <w:szCs w:val="20"/>
        </w:rPr>
        <w:t xml:space="preserve">Advisory Drafting Assistant Only. </w:t>
      </w:r>
      <w:r>
        <w:rPr>
          <w:rFonts w:ascii="Calibri" w:cs="Calibri" w:eastAsia="Calibri" w:hAnsi="Calibri"/>
          <w:color w:val="1F2A33"/>
          <w:sz w:val="20"/>
          <w:szCs w:val="20"/>
        </w:rPr>
        <w:t xml:space="preserve">The software generates draft proposals. Qualified MAN Enterprise engineers remain exclusively responsible for verifying, checking, calculating, and approving all bids prior to formal submittal.</w:t>
      </w:r>
    </w:p>
    <w:p>
      <w:pPr>
        <w:pStyle w:val="ListParagraph"/>
        <w:numPr>
          <w:ilvl w:val="0"/>
          <w:numId w:val="2"/>
        </w:numPr>
        <w:spacing w:after="140" w:line="276"/>
      </w:pPr>
      <w:r>
        <w:rPr>
          <w:rFonts w:ascii="Calibri" w:cs="Calibri" w:eastAsia="Calibri" w:hAnsi="Calibri"/>
          <w:b/>
          <w:bCs/>
          <w:color w:val="0C1E33"/>
          <w:sz w:val="20"/>
          <w:szCs w:val="20"/>
        </w:rPr>
        <w:t xml:space="preserve">Exclusion of Tender Losses. </w:t>
      </w:r>
      <w:r>
        <w:rPr>
          <w:rFonts w:ascii="Calibri" w:cs="Calibri" w:eastAsia="Calibri" w:hAnsi="Calibri"/>
          <w:color w:val="1F2A33"/>
          <w:sz w:val="20"/>
          <w:szCs w:val="20"/>
        </w:rPr>
        <w:t xml:space="preserve">The Editor shall not be held liable for lost tenders, disqualified bids, commercial forfeiture, liquidated damages, or calculation errors.</w:t>
      </w:r>
    </w:p>
    <w:p>
      <w:pPr>
        <w:pStyle w:val="ListParagraph"/>
        <w:numPr>
          <w:ilvl w:val="0"/>
          <w:numId w:val="2"/>
        </w:numPr>
        <w:spacing w:after="140" w:line="276"/>
      </w:pPr>
      <w:r>
        <w:rPr>
          <w:rFonts w:ascii="Calibri" w:cs="Calibri" w:eastAsia="Calibri" w:hAnsi="Calibri"/>
          <w:b/>
          <w:bCs/>
          <w:color w:val="0C1E33"/>
          <w:sz w:val="20"/>
          <w:szCs w:val="20"/>
        </w:rPr>
        <w:t xml:space="preserve">Aggregate Financial Cap. </w:t>
      </w:r>
      <w:r>
        <w:rPr>
          <w:rFonts w:ascii="Calibri" w:cs="Calibri" w:eastAsia="Calibri" w:hAnsi="Calibri"/>
          <w:color w:val="1F2A33"/>
          <w:sz w:val="20"/>
          <w:szCs w:val="20"/>
        </w:rPr>
        <w:t xml:space="preserve">Cumulative liability is strictly capped at €600 during Phase 1 (Pilot), and limited to three (3) months of paid SaaS fees — i.e. €2,250 — in Phase 2.</w:t>
      </w:r>
    </w:p>
    <w:p>
      <w:pPr>
        <w:pStyle w:val="ListParagraph"/>
        <w:numPr>
          <w:ilvl w:val="0"/>
          <w:numId w:val="2"/>
        </w:numPr>
        <w:spacing w:after="140" w:line="276"/>
      </w:pPr>
      <w:r>
        <w:rPr>
          <w:rFonts w:ascii="Calibri" w:cs="Calibri" w:eastAsia="Calibri" w:hAnsi="Calibri"/>
          <w:b/>
          <w:bCs/>
          <w:color w:val="0C1E33"/>
          <w:sz w:val="20"/>
          <w:szCs w:val="20"/>
        </w:rPr>
        <w:t xml:space="preserve">Governing Law. </w:t>
      </w:r>
      <w:r>
        <w:rPr>
          <w:rFonts w:ascii="Calibri" w:cs="Calibri" w:eastAsia="Calibri" w:hAnsi="Calibri"/>
          <w:color w:val="1F2A33"/>
          <w:sz w:val="20"/>
          <w:szCs w:val="20"/>
        </w:rPr>
        <w:t xml:space="preserve">Governed exclusively by the laws of France. Exclusive jurisdiction: Commercial Court of Paris (Tribunal de Commerce de Paris).</w:t>
      </w:r>
    </w:p>
    <w:p>
      <w:pPr>
        <w:pStyle w:val="ListParagraph"/>
        <w:numPr>
          <w:ilvl w:val="0"/>
          <w:numId w:val="2"/>
        </w:numPr>
        <w:spacing w:after="140" w:line="276"/>
      </w:pPr>
      <w:r>
        <w:rPr>
          <w:rFonts w:ascii="Calibri" w:cs="Calibri" w:eastAsia="Calibri" w:hAnsi="Calibri"/>
          <w:b/>
          <w:bCs/>
          <w:color w:val="0C1E33"/>
          <w:sz w:val="20"/>
          <w:szCs w:val="20"/>
        </w:rPr>
        <w:t xml:space="preserve">Independent Legal Review. </w:t>
      </w:r>
      <w:r>
        <w:rPr>
          <w:rFonts w:ascii="Calibri" w:cs="Calibri" w:eastAsia="Calibri" w:hAnsi="Calibri"/>
          <w:color w:val="1F2A33"/>
          <w:sz w:val="20"/>
          <w:szCs w:val="20"/>
        </w:rPr>
        <w:t xml:space="preserve">Each Party confirms having had the opportunity to seek independent legal counsel before signing this Offer.</w:t>
      </w:r>
    </w:p>
    <w:p>
      <w:pPr>
        <w:spacing w:before="4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single" w:color="C3CBD6" w:sz="3"/>
              <w:left w:val="single" w:color="C3CBD6" w:sz="3"/>
              <w:bottom w:val="single" w:color="C3CBD6" w:sz="3"/>
              <w:right w:val="single" w:color="C3CBD6" w:sz="3"/>
            </w:tcBorders>
            <w:shd w:fill="16324F" w:color="auto" w:val="clear"/>
            <w:tcMar>
              <w:top w:type="dxa" w:w="110"/>
              <w:left w:type="dxa" w:w="130"/>
              <w:bottom w:type="dxa" w:w="110"/>
              <w:right w:type="dxa" w:w="130"/>
            </w:tcMar>
            <w:vAlign w:val="center"/>
          </w:tcPr>
          <w:p>
            <w:r>
              <w:rPr>
                <w:rFonts w:ascii="Calibri" w:cs="Calibri" w:eastAsia="Calibri" w:hAnsi="Calibri"/>
                <w:b/>
                <w:bCs/>
                <w:color w:val="FFFFFF"/>
                <w:sz w:val="19"/>
                <w:szCs w:val="19"/>
              </w:rPr>
              <w:t xml:space="preserve">For the Second Party</w:t>
            </w:r>
          </w:p>
        </w:tc>
        <w:tc>
          <w:tcPr>
            <w:tcW w:type="dxa" w:w="4853"/>
            <w:tcBorders>
              <w:top w:val="single" w:color="C3CBD6" w:sz="3"/>
              <w:left w:val="single" w:color="C3CBD6" w:sz="3"/>
              <w:bottom w:val="single" w:color="C3CBD6" w:sz="3"/>
              <w:right w:val="single" w:color="C3CBD6" w:sz="3"/>
            </w:tcBorders>
            <w:shd w:fill="16324F" w:color="auto" w:val="clear"/>
            <w:tcMar>
              <w:top w:type="dxa" w:w="110"/>
              <w:left w:type="dxa" w:w="130"/>
              <w:bottom w:type="dxa" w:w="110"/>
              <w:right w:type="dxa" w:w="130"/>
            </w:tcMar>
            <w:vAlign w:val="center"/>
          </w:tcPr>
          <w:p>
            <w:r>
              <w:rPr>
                <w:rFonts w:ascii="Calibri" w:cs="Calibri" w:eastAsia="Calibri" w:hAnsi="Calibri"/>
                <w:b/>
                <w:bCs/>
                <w:color w:val="FFFFFF"/>
                <w:sz w:val="19"/>
                <w:szCs w:val="19"/>
              </w:rPr>
              <w:t xml:space="preserve">For the First Party</w:t>
            </w:r>
          </w:p>
        </w:tc>
      </w:tr>
      <w:tr>
        <w:tc>
          <w:tcPr>
            <w:tcW w:type="dxa" w:w="4853"/>
            <w:tcBorders>
              <w:top w:val="single" w:color="C3CBD6" w:sz="3"/>
              <w:left w:val="single" w:color="C3CBD6" w:sz="3"/>
              <w:bottom w:val="single" w:color="C3CBD6" w:sz="3"/>
              <w:right w:val="single" w:color="C3CBD6" w:sz="3"/>
            </w:tcBorders>
            <w:tcMar>
              <w:top w:type="dxa" w:w="220"/>
              <w:left w:type="dxa" w:w="200"/>
              <w:bottom w:type="dxa" w:w="220"/>
              <w:right w:type="dxa" w:w="200"/>
            </w:tcMar>
            <w:vAlign w:val="top"/>
          </w:tcPr>
          <w:p>
            <w:pPr>
              <w:spacing w:after="160" w:line="276"/>
            </w:pPr>
            <w:r>
              <w:rPr>
                <w:rFonts w:ascii="Calibri" w:cs="Calibri" w:eastAsia="Calibri" w:hAnsi="Calibri"/>
                <w:b/>
                <w:bCs/>
                <w:color w:val="1F2A33"/>
                <w:sz w:val="20"/>
                <w:szCs w:val="20"/>
              </w:rPr>
              <w:t xml:space="preserve">Charbel AKL</w:t>
            </w:r>
          </w:p>
          <w:p>
            <w:pPr>
              <w:spacing w:after="160" w:line="276"/>
            </w:pPr>
            <w:r>
              <w:rPr>
                <w:rFonts w:ascii="Calibri" w:cs="Calibri" w:eastAsia="Calibri" w:hAnsi="Calibri"/>
                <w:i/>
                <w:iCs/>
                <w:color w:val="45505C"/>
                <w:sz w:val="18"/>
                <w:szCs w:val="18"/>
              </w:rPr>
              <w:t xml:space="preserve">Independent AI Software Designer</w:t>
            </w:r>
          </w:p>
          <w:p>
            <w:pPr>
              <w:spacing w:after="160" w:line="276"/>
            </w:pPr>
            <w:r>
              <w:rPr>
                <w:rFonts w:ascii="Calibri" w:cs="Calibri" w:eastAsia="Calibri" w:hAnsi="Calibri"/>
                <w:color w:val="1F2A33"/>
                <w:sz w:val="20"/>
                <w:szCs w:val="20"/>
              </w:rPr>
              <w:t xml:space="preserve">Date: September 15, 2026</w:t>
            </w:r>
          </w:p>
          <w:p>
            <w:pPr>
              <w:spacing w:before="260"/>
            </w:pPr>
            <w:r>
              <w:rPr>
                <w:rFonts w:ascii="Calibri" w:cs="Calibri" w:eastAsia="Calibri" w:hAnsi="Calibri"/>
                <w:color w:val="1F2A33"/>
                <w:sz w:val="20"/>
                <w:szCs w:val="20"/>
              </w:rPr>
              <w:t xml:space="preserve">Signed: Charbel AKL</w:t>
            </w:r>
          </w:p>
        </w:tc>
        <w:tc>
          <w:tcPr>
            <w:tcW w:type="dxa" w:w="4853"/>
            <w:tcBorders>
              <w:top w:val="single" w:color="C3CBD6" w:sz="3"/>
              <w:left w:val="single" w:color="C3CBD6" w:sz="3"/>
              <w:bottom w:val="single" w:color="C3CBD6" w:sz="3"/>
              <w:right w:val="single" w:color="C3CBD6" w:sz="3"/>
            </w:tcBorders>
            <w:tcMar>
              <w:top w:type="dxa" w:w="220"/>
              <w:left w:type="dxa" w:w="200"/>
              <w:bottom w:type="dxa" w:w="220"/>
              <w:right w:type="dxa" w:w="200"/>
            </w:tcMar>
            <w:vAlign w:val="top"/>
          </w:tcPr>
          <w:p>
            <w:pPr>
              <w:spacing w:after="160" w:line="276"/>
            </w:pPr>
            <w:r>
              <w:rPr>
                <w:rFonts w:ascii="Calibri" w:cs="Calibri" w:eastAsia="Calibri" w:hAnsi="Calibri"/>
                <w:b/>
                <w:bCs/>
                <w:color w:val="1F2A33"/>
                <w:sz w:val="20"/>
                <w:szCs w:val="20"/>
              </w:rPr>
              <w:t xml:space="preserve">MAN Enterprise SAL Offshore</w:t>
            </w:r>
          </w:p>
          <w:p>
            <w:pPr>
              <w:spacing w:after="160" w:line="276"/>
            </w:pPr>
            <w:r>
              <w:rPr>
                <w:rFonts w:ascii="Calibri" w:cs="Calibri" w:eastAsia="Calibri" w:hAnsi="Calibri"/>
                <w:i/>
                <w:iCs/>
                <w:color w:val="45505C"/>
                <w:sz w:val="18"/>
                <w:szCs w:val="18"/>
              </w:rPr>
              <w:t xml:space="preserve">Represented by Mr. Thierry Abi Nader, CEO / Authorized Executive</w:t>
            </w:r>
          </w:p>
          <w:p>
            <w:pPr>
              <w:spacing w:after="160" w:line="276"/>
            </w:pPr>
            <w:r>
              <w:rPr>
                <w:rFonts w:ascii="Calibri" w:cs="Calibri" w:eastAsia="Calibri" w:hAnsi="Calibri"/>
                <w:color w:val="1F2A33"/>
                <w:sz w:val="20"/>
                <w:szCs w:val="20"/>
              </w:rPr>
              <w:t xml:space="preserve">Date: _______________________</w:t>
            </w:r>
          </w:p>
          <w:p>
            <w:pPr>
              <w:spacing w:before="260"/>
            </w:pPr>
            <w:r>
              <w:rPr>
                <w:rFonts w:ascii="Calibri" w:cs="Calibri" w:eastAsia="Calibri" w:hAnsi="Calibri"/>
                <w:color w:val="1F2A33"/>
                <w:sz w:val="20"/>
                <w:szCs w:val="20"/>
              </w:rPr>
              <w:t xml:space="preserve">Signature &amp; Company Stamp:</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BD6" w:sz="4" w:space="6"/>
      </w:pBdr>
      <w:tabs>
        <w:tab w:val="right" w:pos="9026"/>
      </w:tabs>
    </w:pPr>
    <w:r>
      <w:rPr>
        <w:rFonts w:ascii="Calibri" w:cs="Calibri" w:eastAsia="Calibri" w:hAnsi="Calibri"/>
        <w:color w:val="7A8592"/>
        <w:sz w:val="15"/>
        <w:szCs w:val="15"/>
      </w:rPr>
      <w:t xml:space="preserve">Confidential — OFR-2026-MAN-TND-02 — Governed by Signed NDA</w:t>
    </w:r>
    <w:r>
      <w:t xml:space="preserve">	</w:t>
    </w:r>
    <w:r>
      <w:rPr>
        <w:rFonts w:ascii="Calibri" w:cs="Calibri" w:eastAsia="Calibri" w:hAnsi="Calibri"/>
        <w:color w:val="7A8592"/>
        <w:sz w:val="15"/>
        <w:szCs w:val="15"/>
      </w:rPr>
      <w:t xml:space="preserve">Page </w:t>
    </w:r>
    <w:r>
      <w:rPr>
        <w:rFonts w:ascii="Calibri" w:cs="Calibri" w:eastAsia="Calibri" w:hAnsi="Calibri"/>
        <w:color w:val="7A8592"/>
        <w:sz w:val="15"/>
        <w:szCs w:val="15"/>
      </w:rPr>
      <w:fldChar w:fldCharType="begin"/>
      <w:instrText xml:space="preserve">PAGE</w:instrText>
      <w:fldChar w:fldCharType="separate"/>
      <w:fldChar w:fldCharType="end"/>
    </w:r>
    <w:r>
      <w:rPr>
        <w:rFonts w:ascii="Calibri" w:cs="Calibri" w:eastAsia="Calibri" w:hAnsi="Calibri"/>
        <w:color w:val="7A8592"/>
        <w:sz w:val="15"/>
        <w:szCs w:val="15"/>
      </w:rPr>
      <w:t xml:space="preserve"> / </w:t>
    </w:r>
    <w:r>
      <w:rPr>
        <w:rFonts w:ascii="Calibri" w:cs="Calibri" w:eastAsia="Calibri" w:hAnsi="Calibri"/>
        <w:color w:val="7A859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7A8592"/>
        <w:sz w:val="15"/>
        <w:szCs w:val="15"/>
      </w:rPr>
      <w:t xml:space="preserve">Charbel AKL — btpAO AI Tender Engine</w:t>
    </w:r>
    <w:r>
      <w:t xml:space="preserve">	</w:t>
    </w:r>
    <w:r>
      <w:rPr>
        <w:rFonts w:ascii="Calibri" w:cs="Calibri" w:eastAsia="Calibri" w:hAnsi="Calibri"/>
        <w:color w:val="7A8592"/>
        <w:sz w:val="15"/>
        <w:szCs w:val="15"/>
      </w:rPr>
      <w:t xml:space="preserve">OFR-2026-MAN-TND-02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2026-09-15T12:35:03.846Z</dcterms:created>
  <dcterms:modified xsi:type="dcterms:W3CDTF">2026-09-15T12:35:03.853Z</dcterms:modified>
</cp:coreProperties>
</file>

<file path=docProps/custom.xml><?xml version="1.0" encoding="utf-8"?>
<Properties xmlns="http://schemas.openxmlformats.org/officeDocument/2006/custom-properties" xmlns:vt="http://schemas.openxmlformats.org/officeDocument/2006/docPropsVTypes"/>
</file>