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8"/>
      </w:tblGrid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15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324F"/>
            <w:tcMar>
              <w:top w:w="340" w:type="dxa"/>
              <w:left w:w="380" w:type="dxa"/>
              <w:bottom w:w="340" w:type="dxa"/>
              <w:right w:w="380" w:type="dxa"/>
            </w:tcMar>
          </w:tcPr>
          <w:p w:rsidR="00BF3799" w:rsidRPr="00440F65" w:rsidRDefault="00AA192F">
            <w:pPr>
              <w:spacing w:after="90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b/>
                <w:bCs/>
                <w:color w:val="AD7A34"/>
                <w:spacing w:val="20"/>
                <w:sz w:val="18"/>
                <w:szCs w:val="18"/>
                <w:lang w:val="en-US"/>
              </w:rPr>
              <w:t>STRATEGIC ARCHITECTURE STUDY &amp; SLA BENCHMARK</w:t>
            </w:r>
          </w:p>
          <w:p w:rsidR="00BF3799" w:rsidRPr="00440F65" w:rsidRDefault="00AA192F">
            <w:pPr>
              <w:spacing w:after="90"/>
              <w:rPr>
                <w:lang w:val="en-US"/>
              </w:rPr>
            </w:pPr>
            <w:r w:rsidRPr="00440F65">
              <w:rPr>
                <w:rFonts w:ascii="Cambria" w:eastAsia="Cambria" w:hAnsi="Cambria" w:cs="Cambria"/>
                <w:b/>
                <w:bCs/>
                <w:color w:val="FFFFFF"/>
                <w:sz w:val="46"/>
                <w:szCs w:val="46"/>
                <w:lang w:val="en-US"/>
              </w:rPr>
              <w:t>Dedicated AI Tender Engine vs. Microsoft Copilot Studio</w:t>
            </w:r>
          </w:p>
          <w:p w:rsidR="00BF3799" w:rsidRPr="00440F65" w:rsidRDefault="00AA192F">
            <w:pPr>
              <w:rPr>
                <w:lang w:val="en-US"/>
              </w:rPr>
            </w:pPr>
            <w:r w:rsidRPr="00440F65">
              <w:rPr>
                <w:rFonts w:ascii="Cambria" w:eastAsia="Cambria" w:hAnsi="Cambria" w:cs="Cambria"/>
                <w:i/>
                <w:iCs/>
                <w:color w:val="C9D4E0"/>
                <w:sz w:val="23"/>
                <w:szCs w:val="23"/>
                <w:lang w:val="en-US"/>
              </w:rPr>
              <w:t>A comparative technical and financial analysis prepared for MAN Enterprise</w:t>
            </w:r>
          </w:p>
        </w:tc>
      </w:tr>
    </w:tbl>
    <w:p w:rsidR="00BF3799" w:rsidRPr="00440F65" w:rsidRDefault="00AA192F">
      <w:pPr>
        <w:pBdr>
          <w:bottom w:val="single" w:sz="4" w:space="8" w:color="C3CBD6"/>
        </w:pBdr>
        <w:spacing w:before="160" w:after="260"/>
        <w:rPr>
          <w:lang w:val="en-US"/>
        </w:rPr>
      </w:pPr>
      <w:r w:rsidRPr="00440F65">
        <w:rPr>
          <w:rFonts w:ascii="Calibri" w:eastAsia="Calibri" w:hAnsi="Calibri" w:cs="Calibri"/>
          <w:color w:val="45505C"/>
          <w:sz w:val="18"/>
          <w:szCs w:val="18"/>
          <w:lang w:val="en-US"/>
        </w:rPr>
        <w:t>Ref: STU-2026-MAN-TND-03      |      Date: September 15, 2026      |      Informational document — no signature required</w:t>
      </w:r>
    </w:p>
    <w:p w:rsidR="00BF3799" w:rsidRPr="00440F65" w:rsidRDefault="00AA192F">
      <w:pPr>
        <w:keepNext/>
        <w:keepLines/>
        <w:spacing w:before="120" w:after="100"/>
        <w:rPr>
          <w:lang w:val="en-US"/>
        </w:rPr>
      </w:pPr>
      <w:r w:rsidRPr="00440F65">
        <w:rPr>
          <w:rFonts w:ascii="Calibri" w:eastAsia="Calibri" w:hAnsi="Calibri" w:cs="Calibri"/>
          <w:b/>
          <w:bCs/>
          <w:color w:val="16324F"/>
          <w:lang w:val="en-US"/>
        </w:rPr>
        <w:t>EXECUTIVE SUMMARY &amp; NO-LOCK-IN COMMITMENT</w:t>
      </w:r>
    </w:p>
    <w:p w:rsidR="00BF3799" w:rsidRPr="00440F65" w:rsidRDefault="00AA192F">
      <w:pPr>
        <w:spacing w:after="160" w:line="276" w:lineRule="auto"/>
        <w:rPr>
          <w:lang w:val="en-US"/>
        </w:rPr>
      </w:pPr>
      <w:r w:rsidRPr="00440F65">
        <w:rPr>
          <w:rFonts w:ascii="Calibri" w:eastAsia="Calibri" w:hAnsi="Calibri" w:cs="Calibri"/>
          <w:color w:val="1F2A33"/>
          <w:lang w:val="en-US"/>
        </w:rPr>
        <w:t>This study compares deploying the Editor's pre-built Dedicated AI SaaS Engine (Track 1) again</w:t>
      </w:r>
      <w:r w:rsidRPr="00440F65">
        <w:rPr>
          <w:rFonts w:ascii="Calibri" w:eastAsia="Calibri" w:hAnsi="Calibri" w:cs="Calibri"/>
          <w:color w:val="1F2A33"/>
          <w:lang w:val="en-US"/>
        </w:rPr>
        <w:t>st custom development on MAN's own Microsoft tenant using Copilot Studio (Track 2), based on the Editor's standard rate card (Commercial Offer, Ref. OFR-2026-MAN-TND-02) and typical market costs for equivalent Microsoft Power Platform deployments.</w:t>
      </w:r>
    </w:p>
    <w:p w:rsidR="00BF3799" w:rsidRDefault="00AA192F">
      <w:pPr>
        <w:pStyle w:val="Paragraphedeliste"/>
        <w:numPr>
          <w:ilvl w:val="0"/>
          <w:numId w:val="2"/>
        </w:numPr>
        <w:spacing w:after="140" w:line="276" w:lineRule="auto"/>
      </w:pPr>
      <w:r w:rsidRPr="00440F65">
        <w:rPr>
          <w:rFonts w:ascii="Calibri" w:eastAsia="Calibri" w:hAnsi="Calibri" w:cs="Calibri"/>
          <w:b/>
          <w:bCs/>
          <w:color w:val="0C1E33"/>
          <w:lang w:val="en-US"/>
        </w:rPr>
        <w:t>No-Lock-</w:t>
      </w:r>
      <w:r w:rsidRPr="00440F65">
        <w:rPr>
          <w:rFonts w:ascii="Calibri" w:eastAsia="Calibri" w:hAnsi="Calibri" w:cs="Calibri"/>
          <w:b/>
          <w:bCs/>
          <w:color w:val="0C1E33"/>
          <w:lang w:val="en-US"/>
        </w:rPr>
        <w:t xml:space="preserve">In Commitment. </w:t>
      </w:r>
      <w:r w:rsidRPr="00440F65">
        <w:rPr>
          <w:rFonts w:ascii="Calibri" w:eastAsia="Calibri" w:hAnsi="Calibri" w:cs="Calibri"/>
          <w:color w:val="1F2A33"/>
          <w:lang w:val="en-US"/>
        </w:rPr>
        <w:t xml:space="preserve">The €600 Pilot is a self-contained evaluation, not a down payment on a larger commitment. If Track 1 does not meet MAN Enterprise's expectations after the live evaluation, the engagement ends there: no further fees, no further obligation on </w:t>
      </w:r>
      <w:r w:rsidRPr="00440F65">
        <w:rPr>
          <w:rFonts w:ascii="Calibri" w:eastAsia="Calibri" w:hAnsi="Calibri" w:cs="Calibri"/>
          <w:color w:val="1F2A33"/>
          <w:lang w:val="en-US"/>
        </w:rPr>
        <w:t>either side. Track 2 remains available afterward purely as an option — scoped and priced separately under the Editor's standard rate card — and is only pursued if MAN Enterprise specifically requests it.</w:t>
      </w:r>
    </w:p>
    <w:p w:rsidR="00BF3799" w:rsidRDefault="00AA192F">
      <w:pPr>
        <w:keepNext/>
        <w:keepLines/>
        <w:pBdr>
          <w:bottom w:val="single" w:sz="8" w:space="4" w:color="AD7A34"/>
        </w:pBdr>
        <w:spacing w:before="380" w:after="180"/>
      </w:pPr>
      <w:r w:rsidRPr="00440F65">
        <w:rPr>
          <w:rFonts w:ascii="Cambria" w:eastAsia="Cambria" w:hAnsi="Cambria" w:cs="Cambria"/>
          <w:b/>
          <w:bCs/>
          <w:color w:val="8C5F22"/>
          <w:sz w:val="25"/>
          <w:szCs w:val="25"/>
          <w:lang w:val="en-US"/>
        </w:rPr>
        <w:t xml:space="preserve">1.  </w:t>
      </w:r>
      <w:r w:rsidRPr="00440F65">
        <w:rPr>
          <w:rFonts w:ascii="Cambria" w:eastAsia="Cambria" w:hAnsi="Cambria" w:cs="Cambria"/>
          <w:b/>
          <w:bCs/>
          <w:color w:val="0C1E33"/>
          <w:sz w:val="25"/>
          <w:szCs w:val="25"/>
          <w:lang w:val="en-US"/>
        </w:rPr>
        <w:t xml:space="preserve">FACTUAL BENCHMARK: DEDICATED ENGINE VS. </w:t>
      </w:r>
      <w:r>
        <w:rPr>
          <w:rFonts w:ascii="Cambria" w:eastAsia="Cambria" w:hAnsi="Cambria" w:cs="Cambria"/>
          <w:b/>
          <w:bCs/>
          <w:color w:val="0C1E33"/>
          <w:sz w:val="25"/>
          <w:szCs w:val="25"/>
        </w:rPr>
        <w:t>MICROSOF</w:t>
      </w:r>
      <w:r>
        <w:rPr>
          <w:rFonts w:ascii="Cambria" w:eastAsia="Cambria" w:hAnsi="Cambria" w:cs="Cambria"/>
          <w:b/>
          <w:bCs/>
          <w:color w:val="0C1E33"/>
          <w:sz w:val="25"/>
          <w:szCs w:val="25"/>
        </w:rPr>
        <w:t>T COPILOT STUDIO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166"/>
        <w:gridCol w:w="6165"/>
      </w:tblGrid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valuation Metric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Track 2: Microsoft Tenant (Copilot Studio)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Track 1: Dedicated AI SaaS Engine</w:t>
            </w:r>
          </w:p>
        </w:tc>
      </w:tr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Core Strengths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100% inside MAN's tenant &amp; Azure AD. Compliant with strict Microsoft-only corporate IT policies.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Prebuilt specifically for construction bidding (BTP). Operational immediately with zero IT overhead.</w:t>
            </w:r>
          </w:p>
        </w:tc>
      </w:tr>
      <w:tr w:rsidR="00BF3799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Heavy Document Ingestion (200+ p. CCTP &amp; BOQs)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Fragile: Power Automate triggers time out on multi-hundred-page PDFs. AI Builder struggles to cross-reference multi-table BOQ items without complex custom Azure AI Search setups.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BTP-Engineered: dedicated multi-vector chunking pipelines ingest massive tech</w:t>
            </w: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nical dossiers, structural specs, and Excel sheets simultaneously.</w:t>
            </w:r>
          </w:p>
        </w:tc>
      </w:tr>
      <w:tr w:rsidR="00BF3799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Bilingual Arabic / English Technical Jargon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Standard Microsoft LLM prompts perform adequately in general business English, but hallucinate on specialized Middle Eastern civil-engineering t</w:t>
            </w: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erms without extensive custom fine-tuning.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Engineered with specialized civil-engineering prompt weights and regional vocabulary adapted to MEA tender formats.</w:t>
            </w:r>
          </w:p>
        </w:tc>
      </w:tr>
      <w:tr w:rsidR="00BF3799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Adaptive Learning &amp; Prompt Calibration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Requires custom Power Automate flows and manual prompt re</w:t>
            </w: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-engineering for every new correction or vocabulary update; no built-in per-tenant learning.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Built-in adaptive learning loop reuses corrected content automatically (this tender / similar tenders / all future tenders); system instructions calibrated to MAN'</w:t>
            </w: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s vocabulary by the Editor at onboarding.</w:t>
            </w:r>
          </w:p>
        </w:tc>
      </w:tr>
      <w:tr w:rsidR="00BF3799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Initial Setup &amp; Adaptation Cost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 xml:space="preserve">€13,350–€17,800 HT — 15–20 billable days at a blended rate of ≈€890/day HT: an indicative mix of 80% Bespoke Engineering days (€850/day) for connector/scripting </w:t>
            </w: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lastRenderedPageBreak/>
              <w:t>work and 20% Archite</w:t>
            </w: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cture &amp; Strategic Oversight days (€1,050/day) for design and CISO governance — see the Editor's rate card, Commercial Offer Section 5.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lastRenderedPageBreak/>
              <w:t xml:space="preserve">€600 Flat Setup. Subsidized onboarding and custom ingestion calibration; non-refundable. </w:t>
            </w:r>
            <w:r>
              <w:rPr>
                <w:rFonts w:ascii="Calibri" w:eastAsia="Calibri" w:hAnsi="Calibri" w:cs="Calibri"/>
                <w:color w:val="1F2A33"/>
                <w:sz w:val="17"/>
                <w:szCs w:val="17"/>
              </w:rPr>
              <w:t>Remaining setup cost absorbed by the Editor.</w:t>
            </w:r>
          </w:p>
        </w:tc>
      </w:tr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Recurring Operating Costs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 xml:space="preserve">Uncapped Variable Bill — Copilot Studio base license (~€200/month) plus Power Automate Premium </w:t>
            </w: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and AI Builder consumption (~€200–€500/month depending on volume) → estimated total €400–€700/month.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€750/mo Flat Fee — predictable flat fee covering up to 8 major tenders/mo; all LLM compute tokens, hosting, and continuous maintenance included.</w:t>
            </w:r>
          </w:p>
        </w:tc>
      </w:tr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 xml:space="preserve">Vendor &amp; </w:t>
            </w: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Continuity Considerations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Backed by Microsoft's global infrastructure, SLAs and support network; MAN's internal IT team retains full control and knowledge continuity.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Delivered by a single specialized independent provider; continuity depends on the Editor'</w:t>
            </w: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s availability. Mitigated by MAN's full ownership of its underlying data (Commercial Offer, Section 6) and by the option, at MAN's discretion, to commission a Track 2 build separately at any time.</w:t>
            </w:r>
          </w:p>
        </w:tc>
      </w:tr>
      <w:tr w:rsidR="00BF3799" w:rsidRPr="00440F65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System Maintenance &amp; Breakages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Client burden: Microsoft up</w:t>
            </w: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dates APIs and connectors frequently. Any flow crash halts your team and requires hiring external engineering triage.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100% Editor Responsibility: maintained, monitored, and updated continuously by the software designer at zero extra cost.</w:t>
            </w:r>
          </w:p>
        </w:tc>
      </w:tr>
      <w:tr w:rsidR="00BF3799">
        <w:tblPrEx>
          <w:tblCellMar>
            <w:top w:w="0" w:type="dxa"/>
            <w:bottom w:w="0" w:type="dxa"/>
          </w:tblCellMar>
        </w:tblPrEx>
        <w:tc>
          <w:tcPr>
            <w:tcW w:w="2707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E9EE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Year 1 Total Cos</w:t>
            </w:r>
            <w:r>
              <w:rPr>
                <w:rFonts w:ascii="Calibri" w:eastAsia="Calibri" w:hAnsi="Calibri" w:cs="Calibri"/>
                <w:b/>
                <w:bCs/>
                <w:color w:val="0C1E33"/>
                <w:sz w:val="18"/>
                <w:szCs w:val="18"/>
              </w:rPr>
              <w:t>t</w:t>
            </w:r>
          </w:p>
        </w:tc>
        <w:tc>
          <w:tcPr>
            <w:tcW w:w="6166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Pr="00440F65" w:rsidRDefault="00AA192F">
            <w:pPr>
              <w:spacing w:line="250" w:lineRule="auto"/>
              <w:rPr>
                <w:lang w:val="en-US"/>
              </w:rPr>
            </w:pPr>
            <w:r w:rsidRPr="00440F65">
              <w:rPr>
                <w:rFonts w:ascii="Calibri" w:eastAsia="Calibri" w:hAnsi="Calibri" w:cs="Calibri"/>
                <w:color w:val="1F2A33"/>
                <w:sz w:val="17"/>
                <w:szCs w:val="17"/>
                <w:lang w:val="en-US"/>
              </w:rPr>
              <w:t>Estimated €18,000 – €26,000+ — setup + 12 months of recurring costs, before any additional Change Requests.</w:t>
            </w:r>
          </w:p>
        </w:tc>
        <w:tc>
          <w:tcPr>
            <w:tcW w:w="6165" w:type="dxa"/>
            <w:tcBorders>
              <w:top w:val="single" w:sz="3" w:space="0" w:color="C3CBD6"/>
              <w:left w:val="single" w:sz="3" w:space="0" w:color="C3CBD6"/>
              <w:bottom w:val="single" w:sz="3" w:space="0" w:color="C3CBD6"/>
              <w:right w:val="single" w:sz="3" w:space="0" w:color="C3CBD6"/>
            </w:tcBorders>
            <w:shd w:val="clear" w:color="auto" w:fill="F4F0E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F3799" w:rsidRDefault="00AA192F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2A33"/>
                <w:sz w:val="17"/>
                <w:szCs w:val="17"/>
              </w:rPr>
              <w:t>€9,600 Flat — €600 setup + €750 × 12 months — contractually fixed and non-variable.</w:t>
            </w:r>
          </w:p>
        </w:tc>
      </w:tr>
    </w:tbl>
    <w:p w:rsidR="00BF3799" w:rsidRDefault="00AA192F">
      <w:pPr>
        <w:keepNext/>
        <w:keepLines/>
        <w:pBdr>
          <w:bottom w:val="single" w:sz="8" w:space="4" w:color="AD7A34"/>
        </w:pBdr>
        <w:spacing w:before="380" w:after="180"/>
      </w:pPr>
      <w:r>
        <w:rPr>
          <w:rFonts w:ascii="Cambria" w:eastAsia="Cambria" w:hAnsi="Cambria" w:cs="Cambria"/>
          <w:b/>
          <w:bCs/>
          <w:color w:val="8C5F22"/>
          <w:sz w:val="25"/>
          <w:szCs w:val="25"/>
        </w:rPr>
        <w:t xml:space="preserve">2.  </w:t>
      </w:r>
      <w:r>
        <w:rPr>
          <w:rFonts w:ascii="Cambria" w:eastAsia="Cambria" w:hAnsi="Cambria" w:cs="Cambria"/>
          <w:b/>
          <w:bCs/>
          <w:color w:val="0C1E33"/>
          <w:sz w:val="25"/>
          <w:szCs w:val="25"/>
        </w:rPr>
        <w:t>OPERATIONAL SLA FRAMEWORK (IN PRODUCTION)</w:t>
      </w:r>
    </w:p>
    <w:p w:rsidR="00BF3799" w:rsidRPr="00440F65" w:rsidRDefault="00AA192F" w:rsidP="00440F65">
      <w:pPr>
        <w:pStyle w:val="Paragraphedeliste"/>
        <w:numPr>
          <w:ilvl w:val="0"/>
          <w:numId w:val="2"/>
        </w:numPr>
        <w:spacing w:after="140"/>
        <w:rPr>
          <w:sz w:val="18"/>
          <w:szCs w:val="18"/>
        </w:rPr>
      </w:pPr>
      <w:r w:rsidRPr="00440F65">
        <w:rPr>
          <w:rFonts w:ascii="Calibri" w:eastAsia="Calibri" w:hAnsi="Calibri" w:cs="Calibri"/>
          <w:b/>
          <w:bCs/>
          <w:color w:val="0C1E33"/>
          <w:sz w:val="18"/>
          <w:szCs w:val="18"/>
        </w:rPr>
        <w:t xml:space="preserve">Targeted Availability. </w:t>
      </w:r>
      <w:r w:rsidRPr="00440F65">
        <w:rPr>
          <w:rFonts w:ascii="Calibri" w:eastAsia="Calibri" w:hAnsi="Calibri" w:cs="Calibri"/>
          <w:color w:val="1F2A33"/>
          <w:sz w:val="18"/>
          <w:szCs w:val="18"/>
        </w:rPr>
        <w:t>The platform operates under an obligation of means, targeting 98.5% uptime during standard MEA business hours.</w:t>
      </w:r>
    </w:p>
    <w:p w:rsidR="00BF3799" w:rsidRPr="00440F65" w:rsidRDefault="00AA192F" w:rsidP="00440F65">
      <w:pPr>
        <w:pStyle w:val="Paragraphedeliste"/>
        <w:numPr>
          <w:ilvl w:val="0"/>
          <w:numId w:val="2"/>
        </w:numPr>
        <w:spacing w:after="140"/>
        <w:rPr>
          <w:sz w:val="18"/>
          <w:szCs w:val="18"/>
          <w:lang w:val="en-US"/>
        </w:rPr>
      </w:pPr>
      <w:r w:rsidRPr="00440F65">
        <w:rPr>
          <w:rFonts w:ascii="Calibri" w:eastAsia="Calibri" w:hAnsi="Calibri" w:cs="Calibri"/>
          <w:b/>
          <w:bCs/>
          <w:color w:val="0C1E33"/>
          <w:sz w:val="18"/>
          <w:szCs w:val="18"/>
          <w:lang w:val="en-US"/>
        </w:rPr>
        <w:t xml:space="preserve">Upstream Dependencies. </w:t>
      </w:r>
      <w:r w:rsidRPr="00440F65">
        <w:rPr>
          <w:rFonts w:ascii="Calibri" w:eastAsia="Calibri" w:hAnsi="Calibri" w:cs="Calibri"/>
          <w:color w:val="1F2A33"/>
          <w:sz w:val="18"/>
          <w:szCs w:val="18"/>
          <w:lang w:val="en-US"/>
        </w:rPr>
        <w:t>Unavailability caused by global AI model providers (OpenAI, Anthropic APIs), cloud hyperscalers (AW</w:t>
      </w:r>
      <w:r w:rsidRPr="00440F65">
        <w:rPr>
          <w:rFonts w:ascii="Calibri" w:eastAsia="Calibri" w:hAnsi="Calibri" w:cs="Calibri"/>
          <w:color w:val="1F2A33"/>
          <w:sz w:val="18"/>
          <w:szCs w:val="18"/>
          <w:lang w:val="en-US"/>
        </w:rPr>
        <w:t xml:space="preserve">S, Azure), or local telecommunication carriers is classified as Force </w:t>
      </w:r>
      <w:bookmarkStart w:id="0" w:name="_GoBack"/>
      <w:r w:rsidRPr="00440F65">
        <w:rPr>
          <w:rFonts w:ascii="Calibri" w:eastAsia="Calibri" w:hAnsi="Calibri" w:cs="Calibri"/>
          <w:color w:val="1F2A33"/>
          <w:sz w:val="18"/>
          <w:szCs w:val="18"/>
          <w:lang w:val="en-US"/>
        </w:rPr>
        <w:t>Majeure.</w:t>
      </w:r>
    </w:p>
    <w:bookmarkEnd w:id="0"/>
    <w:p w:rsidR="00BF3799" w:rsidRPr="00440F65" w:rsidRDefault="00AA192F" w:rsidP="00440F65">
      <w:pPr>
        <w:pStyle w:val="Paragraphedeliste"/>
        <w:numPr>
          <w:ilvl w:val="0"/>
          <w:numId w:val="2"/>
        </w:numPr>
        <w:spacing w:after="140"/>
        <w:rPr>
          <w:sz w:val="18"/>
          <w:szCs w:val="18"/>
        </w:rPr>
      </w:pPr>
      <w:r w:rsidRPr="00440F65">
        <w:rPr>
          <w:rFonts w:ascii="Calibri" w:eastAsia="Calibri" w:hAnsi="Calibri" w:cs="Calibri"/>
          <w:b/>
          <w:bCs/>
          <w:color w:val="0C1E33"/>
          <w:sz w:val="18"/>
          <w:szCs w:val="18"/>
        </w:rPr>
        <w:t xml:space="preserve">Exclusive Outage Remedy. </w:t>
      </w:r>
      <w:r w:rsidRPr="00440F65">
        <w:rPr>
          <w:rFonts w:ascii="Calibri" w:eastAsia="Calibri" w:hAnsi="Calibri" w:cs="Calibri"/>
          <w:color w:val="1F2A33"/>
          <w:sz w:val="18"/>
          <w:szCs w:val="18"/>
        </w:rPr>
        <w:t>In case of continuous unplanned downtime exceeding 24 consecutive business hours attributable solely to the Editor, the sole remedy is a prorated credit</w:t>
      </w:r>
      <w:r w:rsidRPr="00440F65">
        <w:rPr>
          <w:rFonts w:ascii="Calibri" w:eastAsia="Calibri" w:hAnsi="Calibri" w:cs="Calibri"/>
          <w:color w:val="1F2A33"/>
          <w:sz w:val="18"/>
          <w:szCs w:val="18"/>
        </w:rPr>
        <w:t xml:space="preserve"> on the next month's invoice. Downtime does not entitle termination of the 12-month agreement or damage claims.</w:t>
      </w:r>
    </w:p>
    <w:p w:rsidR="00BF3799" w:rsidRPr="00440F65" w:rsidRDefault="00AA192F" w:rsidP="00440F65">
      <w:pPr>
        <w:pStyle w:val="Paragraphedeliste"/>
        <w:numPr>
          <w:ilvl w:val="0"/>
          <w:numId w:val="2"/>
        </w:numPr>
        <w:spacing w:after="140"/>
        <w:rPr>
          <w:sz w:val="18"/>
          <w:szCs w:val="18"/>
        </w:rPr>
      </w:pPr>
      <w:r w:rsidRPr="00440F65">
        <w:rPr>
          <w:rFonts w:ascii="Calibri" w:eastAsia="Calibri" w:hAnsi="Calibri" w:cs="Calibri"/>
          <w:b/>
          <w:bCs/>
          <w:color w:val="0C1E33"/>
          <w:sz w:val="18"/>
          <w:szCs w:val="18"/>
        </w:rPr>
        <w:t xml:space="preserve">Professional Verification. </w:t>
      </w:r>
      <w:r w:rsidRPr="00440F65">
        <w:rPr>
          <w:rFonts w:ascii="Calibri" w:eastAsia="Calibri" w:hAnsi="Calibri" w:cs="Calibri"/>
          <w:color w:val="1F2A33"/>
          <w:sz w:val="18"/>
          <w:szCs w:val="18"/>
        </w:rPr>
        <w:t xml:space="preserve">The software operates strictly as an assistive intelligence copilot. Final checking, calculation validation, and bid </w:t>
      </w:r>
      <w:r w:rsidRPr="00440F65">
        <w:rPr>
          <w:rFonts w:ascii="Calibri" w:eastAsia="Calibri" w:hAnsi="Calibri" w:cs="Calibri"/>
          <w:color w:val="1F2A33"/>
          <w:sz w:val="18"/>
          <w:szCs w:val="18"/>
        </w:rPr>
        <w:t>submission remain under the exclusive professional judgment of MAN Enterprise's estimators.</w:t>
      </w:r>
    </w:p>
    <w:p w:rsidR="00BF3799" w:rsidRDefault="00AA192F">
      <w:pPr>
        <w:keepNext/>
        <w:keepLines/>
        <w:pBdr>
          <w:bottom w:val="single" w:sz="8" w:space="4" w:color="AD7A34"/>
        </w:pBdr>
        <w:spacing w:before="380" w:after="180"/>
      </w:pPr>
      <w:r>
        <w:rPr>
          <w:rFonts w:ascii="Cambria" w:eastAsia="Cambria" w:hAnsi="Cambria" w:cs="Cambria"/>
          <w:b/>
          <w:bCs/>
          <w:color w:val="8C5F22"/>
          <w:sz w:val="25"/>
          <w:szCs w:val="25"/>
        </w:rPr>
        <w:t xml:space="preserve">3.  </w:t>
      </w:r>
      <w:r>
        <w:rPr>
          <w:rFonts w:ascii="Cambria" w:eastAsia="Cambria" w:hAnsi="Cambria" w:cs="Cambria"/>
          <w:b/>
          <w:bCs/>
          <w:color w:val="0C1E33"/>
          <w:sz w:val="25"/>
          <w:szCs w:val="25"/>
        </w:rPr>
        <w:t>TECHNICAL SYNTHESIS</w:t>
      </w:r>
    </w:p>
    <w:p w:rsidR="00BF3799" w:rsidRDefault="00AA192F">
      <w:pPr>
        <w:spacing w:after="160" w:line="276" w:lineRule="auto"/>
      </w:pPr>
      <w:r>
        <w:rPr>
          <w:rFonts w:ascii="Calibri" w:eastAsia="Calibri" w:hAnsi="Calibri" w:cs="Calibri"/>
          <w:color w:val="1F2A33"/>
        </w:rPr>
        <w:t>Track 1 offers immediate bid automation adapted to civil-engineering documentation without capital expenditure. Starting with the €600 calib</w:t>
      </w:r>
      <w:r>
        <w:rPr>
          <w:rFonts w:ascii="Calibri" w:eastAsia="Calibri" w:hAnsi="Calibri" w:cs="Calibri"/>
          <w:color w:val="1F2A33"/>
        </w:rPr>
        <w:t>ration test validates extraction accuracy on MAN's actual archives. Should MAN decide to pivot to Copilot Studio, all data models and prompt configurations transition directly into Track 2 under the standard daily consulting terms set out in the Commercial</w:t>
      </w:r>
      <w:r>
        <w:rPr>
          <w:rFonts w:ascii="Calibri" w:eastAsia="Calibri" w:hAnsi="Calibri" w:cs="Calibri"/>
          <w:color w:val="1F2A33"/>
        </w:rPr>
        <w:t xml:space="preserve"> Offer (Ref. OFR-2026-MAN-TND-02, Section 5).</w:t>
      </w:r>
    </w:p>
    <w:p w:rsidR="00BF3799" w:rsidRDefault="00AA192F">
      <w:pPr>
        <w:spacing w:after="160" w:line="276" w:lineRule="auto"/>
      </w:pPr>
      <w:r>
        <w:rPr>
          <w:rFonts w:ascii="Calibri" w:eastAsia="Calibri" w:hAnsi="Calibri" w:cs="Calibri"/>
          <w:color w:val="1F2A33"/>
        </w:rPr>
        <w:t>MAN Enterprise's relationship to the Track 1 platform is, in this respect, no different from any Microsoft customer's relationship to Copilot Studio itself: full control over your own data and configuration, no ownership of the underlying platform.</w:t>
      </w:r>
    </w:p>
    <w:p w:rsidR="00BF3799" w:rsidRDefault="00AA192F">
      <w:pPr>
        <w:spacing w:before="160"/>
      </w:pPr>
      <w:r>
        <w:rPr>
          <w:rFonts w:ascii="Calibri" w:eastAsia="Calibri" w:hAnsi="Calibri" w:cs="Calibri"/>
          <w:i/>
          <w:iCs/>
          <w:color w:val="45505C"/>
          <w:sz w:val="17"/>
          <w:szCs w:val="17"/>
        </w:rPr>
        <w:t>Note on</w:t>
      </w:r>
      <w:r>
        <w:rPr>
          <w:rFonts w:ascii="Calibri" w:eastAsia="Calibri" w:hAnsi="Calibri" w:cs="Calibri"/>
          <w:i/>
          <w:iCs/>
          <w:color w:val="45505C"/>
          <w:sz w:val="17"/>
          <w:szCs w:val="17"/>
        </w:rPr>
        <w:t xml:space="preserve"> methodology: Track 2 figures are estimates prepared by the Editor, based on the rate card set out in the Commercial Offer (Ref. OFR-2026-MAN-TND-02) and typical market costs for equivalent Microsoft Power Platform / Copilot Studio implementations of compa</w:t>
      </w:r>
      <w:r>
        <w:rPr>
          <w:rFonts w:ascii="Calibri" w:eastAsia="Calibri" w:hAnsi="Calibri" w:cs="Calibri"/>
          <w:i/>
          <w:iCs/>
          <w:color w:val="45505C"/>
          <w:sz w:val="17"/>
          <w:szCs w:val="17"/>
        </w:rPr>
        <w:t>rable scope. Actual Track 2 costs may vary depending on MAN's specific technical environment, licensing tier, and internal IT resource allocation.</w:t>
      </w:r>
    </w:p>
    <w:sectPr w:rsidR="00BF3799"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92F" w:rsidRDefault="00AA192F">
      <w:r>
        <w:separator/>
      </w:r>
    </w:p>
  </w:endnote>
  <w:endnote w:type="continuationSeparator" w:id="0">
    <w:p w:rsidR="00AA192F" w:rsidRDefault="00AA1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3799" w:rsidRDefault="00AA192F">
    <w:pPr>
      <w:pBdr>
        <w:top w:val="single" w:sz="4" w:space="6" w:color="C3CBD6"/>
      </w:pBdr>
      <w:tabs>
        <w:tab w:val="right" w:pos="9026"/>
      </w:tabs>
    </w:pPr>
    <w:r>
      <w:rPr>
        <w:rFonts w:ascii="Calibri" w:eastAsia="Calibri" w:hAnsi="Calibri" w:cs="Calibri"/>
        <w:color w:val="7A8592"/>
        <w:sz w:val="15"/>
        <w:szCs w:val="15"/>
      </w:rPr>
      <w:t>Confidential — STU-2026-MAN-TND-03 — Governed by Signed NDA</w:t>
    </w:r>
    <w:r>
      <w:tab/>
    </w:r>
    <w:r>
      <w:rPr>
        <w:rFonts w:ascii="Calibri" w:eastAsia="Calibri" w:hAnsi="Calibri" w:cs="Calibri"/>
        <w:color w:val="7A8592"/>
        <w:sz w:val="15"/>
        <w:szCs w:val="15"/>
      </w:rPr>
      <w:t xml:space="preserve">Page </w:t>
    </w:r>
    <w:r>
      <w:rPr>
        <w:rFonts w:ascii="Calibri" w:eastAsia="Calibri" w:hAnsi="Calibri" w:cs="Calibri"/>
        <w:color w:val="7A8592"/>
        <w:sz w:val="15"/>
        <w:szCs w:val="15"/>
      </w:rPr>
      <w:fldChar w:fldCharType="begin"/>
    </w:r>
    <w:r>
      <w:rPr>
        <w:rFonts w:ascii="Calibri" w:eastAsia="Calibri" w:hAnsi="Calibri" w:cs="Calibri"/>
        <w:color w:val="7A8592"/>
        <w:sz w:val="15"/>
        <w:szCs w:val="15"/>
      </w:rPr>
      <w:instrText>PAGE</w:instrText>
    </w:r>
    <w:r w:rsidR="00440F65">
      <w:rPr>
        <w:rFonts w:ascii="Calibri" w:eastAsia="Calibri" w:hAnsi="Calibri" w:cs="Calibri"/>
        <w:color w:val="7A8592"/>
        <w:sz w:val="15"/>
        <w:szCs w:val="15"/>
      </w:rPr>
      <w:fldChar w:fldCharType="separate"/>
    </w:r>
    <w:r w:rsidR="00440F65">
      <w:rPr>
        <w:rFonts w:ascii="Calibri" w:eastAsia="Calibri" w:hAnsi="Calibri" w:cs="Calibri"/>
        <w:noProof/>
        <w:color w:val="7A8592"/>
        <w:sz w:val="15"/>
        <w:szCs w:val="15"/>
      </w:rPr>
      <w:t>1</w:t>
    </w:r>
    <w:r>
      <w:rPr>
        <w:rFonts w:ascii="Calibri" w:eastAsia="Calibri" w:hAnsi="Calibri" w:cs="Calibri"/>
        <w:color w:val="7A8592"/>
        <w:sz w:val="15"/>
        <w:szCs w:val="15"/>
      </w:rPr>
      <w:fldChar w:fldCharType="end"/>
    </w:r>
    <w:r>
      <w:rPr>
        <w:rFonts w:ascii="Calibri" w:eastAsia="Calibri" w:hAnsi="Calibri" w:cs="Calibri"/>
        <w:color w:val="7A8592"/>
        <w:sz w:val="15"/>
        <w:szCs w:val="15"/>
      </w:rPr>
      <w:t xml:space="preserve"> / </w:t>
    </w:r>
    <w:r>
      <w:rPr>
        <w:rFonts w:ascii="Calibri" w:eastAsia="Calibri" w:hAnsi="Calibri" w:cs="Calibri"/>
        <w:color w:val="7A8592"/>
        <w:sz w:val="15"/>
        <w:szCs w:val="15"/>
      </w:rPr>
      <w:fldChar w:fldCharType="begin"/>
    </w:r>
    <w:r>
      <w:rPr>
        <w:rFonts w:ascii="Calibri" w:eastAsia="Calibri" w:hAnsi="Calibri" w:cs="Calibri"/>
        <w:color w:val="7A8592"/>
        <w:sz w:val="15"/>
        <w:szCs w:val="15"/>
      </w:rPr>
      <w:instrText>NUMPAGES</w:instrText>
    </w:r>
    <w:r w:rsidR="00440F65">
      <w:rPr>
        <w:rFonts w:ascii="Calibri" w:eastAsia="Calibri" w:hAnsi="Calibri" w:cs="Calibri"/>
        <w:color w:val="7A8592"/>
        <w:sz w:val="15"/>
        <w:szCs w:val="15"/>
      </w:rPr>
      <w:fldChar w:fldCharType="separate"/>
    </w:r>
    <w:r w:rsidR="00440F65">
      <w:rPr>
        <w:rFonts w:ascii="Calibri" w:eastAsia="Calibri" w:hAnsi="Calibri" w:cs="Calibri"/>
        <w:noProof/>
        <w:color w:val="7A8592"/>
        <w:sz w:val="15"/>
        <w:szCs w:val="15"/>
      </w:rPr>
      <w:t>1</w:t>
    </w:r>
    <w:r>
      <w:rPr>
        <w:rFonts w:ascii="Calibri" w:eastAsia="Calibri" w:hAnsi="Calibri" w:cs="Calibri"/>
        <w:color w:val="7A859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92F" w:rsidRDefault="00AA192F">
      <w:r>
        <w:separator/>
      </w:r>
    </w:p>
  </w:footnote>
  <w:footnote w:type="continuationSeparator" w:id="0">
    <w:p w:rsidR="00AA192F" w:rsidRDefault="00AA1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3799" w:rsidRDefault="00AA192F">
    <w:pPr>
      <w:tabs>
        <w:tab w:val="right" w:pos="9026"/>
      </w:tabs>
    </w:pPr>
    <w:r>
      <w:rPr>
        <w:rFonts w:ascii="Calibri" w:eastAsia="Calibri" w:hAnsi="Calibri" w:cs="Calibri"/>
        <w:color w:val="7A8592"/>
        <w:sz w:val="15"/>
        <w:szCs w:val="15"/>
      </w:rPr>
      <w:t>Charbel AKL — btpAO AI Tender Engine</w:t>
    </w:r>
    <w:r>
      <w:tab/>
    </w:r>
    <w:r>
      <w:rPr>
        <w:rFonts w:ascii="Calibri" w:eastAsia="Calibri" w:hAnsi="Calibri" w:cs="Calibri"/>
        <w:color w:val="7A8592"/>
        <w:sz w:val="15"/>
        <w:szCs w:val="15"/>
      </w:rPr>
      <w:t>ST</w:t>
    </w:r>
    <w:r>
      <w:rPr>
        <w:rFonts w:ascii="Calibri" w:eastAsia="Calibri" w:hAnsi="Calibri" w:cs="Calibri"/>
        <w:color w:val="7A8592"/>
        <w:sz w:val="15"/>
        <w:szCs w:val="15"/>
      </w:rPr>
      <w:t>U-2026-MAN-TND-03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F47F7"/>
    <w:multiLevelType w:val="hybridMultilevel"/>
    <w:tmpl w:val="064015BA"/>
    <w:lvl w:ilvl="0" w:tplc="D458EF2C">
      <w:start w:val="1"/>
      <w:numFmt w:val="bullet"/>
      <w:lvlText w:val="●"/>
      <w:lvlJc w:val="left"/>
      <w:pPr>
        <w:ind w:left="720" w:hanging="360"/>
      </w:pPr>
    </w:lvl>
    <w:lvl w:ilvl="1" w:tplc="2796075C">
      <w:start w:val="1"/>
      <w:numFmt w:val="bullet"/>
      <w:lvlText w:val="○"/>
      <w:lvlJc w:val="left"/>
      <w:pPr>
        <w:ind w:left="1440" w:hanging="360"/>
      </w:pPr>
    </w:lvl>
    <w:lvl w:ilvl="2" w:tplc="BBDCA186">
      <w:start w:val="1"/>
      <w:numFmt w:val="bullet"/>
      <w:lvlText w:val="■"/>
      <w:lvlJc w:val="left"/>
      <w:pPr>
        <w:ind w:left="2160" w:hanging="360"/>
      </w:pPr>
    </w:lvl>
    <w:lvl w:ilvl="3" w:tplc="08BEABE8">
      <w:start w:val="1"/>
      <w:numFmt w:val="bullet"/>
      <w:lvlText w:val="●"/>
      <w:lvlJc w:val="left"/>
      <w:pPr>
        <w:ind w:left="2880" w:hanging="360"/>
      </w:pPr>
    </w:lvl>
    <w:lvl w:ilvl="4" w:tplc="6F3E361C">
      <w:start w:val="1"/>
      <w:numFmt w:val="bullet"/>
      <w:lvlText w:val="○"/>
      <w:lvlJc w:val="left"/>
      <w:pPr>
        <w:ind w:left="3600" w:hanging="360"/>
      </w:pPr>
    </w:lvl>
    <w:lvl w:ilvl="5" w:tplc="596AD4D4">
      <w:start w:val="1"/>
      <w:numFmt w:val="bullet"/>
      <w:lvlText w:val="■"/>
      <w:lvlJc w:val="left"/>
      <w:pPr>
        <w:ind w:left="4320" w:hanging="360"/>
      </w:pPr>
    </w:lvl>
    <w:lvl w:ilvl="6" w:tplc="68805DDC">
      <w:start w:val="1"/>
      <w:numFmt w:val="bullet"/>
      <w:lvlText w:val="●"/>
      <w:lvlJc w:val="left"/>
      <w:pPr>
        <w:ind w:left="5040" w:hanging="360"/>
      </w:pPr>
    </w:lvl>
    <w:lvl w:ilvl="7" w:tplc="17EE5FC8">
      <w:start w:val="1"/>
      <w:numFmt w:val="bullet"/>
      <w:lvlText w:val="●"/>
      <w:lvlJc w:val="left"/>
      <w:pPr>
        <w:ind w:left="5760" w:hanging="360"/>
      </w:pPr>
    </w:lvl>
    <w:lvl w:ilvl="8" w:tplc="DA78E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D26AD0"/>
    <w:multiLevelType w:val="hybridMultilevel"/>
    <w:tmpl w:val="EBC8FB0C"/>
    <w:lvl w:ilvl="0" w:tplc="92BE2A60">
      <w:start w:val="1"/>
      <w:numFmt w:val="bullet"/>
      <w:lvlText w:val="•"/>
      <w:lvlJc w:val="left"/>
      <w:pPr>
        <w:ind w:left="340" w:hanging="260"/>
      </w:pPr>
    </w:lvl>
    <w:lvl w:ilvl="1" w:tplc="FF2AAC30">
      <w:numFmt w:val="decimal"/>
      <w:lvlText w:val=""/>
      <w:lvlJc w:val="left"/>
    </w:lvl>
    <w:lvl w:ilvl="2" w:tplc="4CCA57FE">
      <w:numFmt w:val="decimal"/>
      <w:lvlText w:val=""/>
      <w:lvlJc w:val="left"/>
    </w:lvl>
    <w:lvl w:ilvl="3" w:tplc="1EF6245C">
      <w:numFmt w:val="decimal"/>
      <w:lvlText w:val=""/>
      <w:lvlJc w:val="left"/>
    </w:lvl>
    <w:lvl w:ilvl="4" w:tplc="439E5C62">
      <w:numFmt w:val="decimal"/>
      <w:lvlText w:val=""/>
      <w:lvlJc w:val="left"/>
    </w:lvl>
    <w:lvl w:ilvl="5" w:tplc="6E5ADE9E">
      <w:numFmt w:val="decimal"/>
      <w:lvlText w:val=""/>
      <w:lvlJc w:val="left"/>
    </w:lvl>
    <w:lvl w:ilvl="6" w:tplc="0A2C937E">
      <w:numFmt w:val="decimal"/>
      <w:lvlText w:val=""/>
      <w:lvlJc w:val="left"/>
    </w:lvl>
    <w:lvl w:ilvl="7" w:tplc="C5BC6AEC">
      <w:numFmt w:val="decimal"/>
      <w:lvlText w:val=""/>
      <w:lvlJc w:val="left"/>
    </w:lvl>
    <w:lvl w:ilvl="8" w:tplc="3DD81A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99"/>
    <w:rsid w:val="00440F65"/>
    <w:rsid w:val="00AA192F"/>
    <w:rsid w:val="00B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9C27A3"/>
  <w15:docId w15:val="{0BF1AC47-65A2-BE43-909F-1309DE92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999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/>
  <cp:revision>2</cp:revision>
  <dcterms:created xsi:type="dcterms:W3CDTF">2026-09-15T12:35:00Z</dcterms:created>
  <dcterms:modified xsi:type="dcterms:W3CDTF">2026-09-15T17:04:00Z</dcterms:modified>
</cp:coreProperties>
</file>