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i w:val="false"/>
          <w:iCs w:val="false"/>
          <w:color w:val="0F172A"/>
          <w:sz w:val="60"/>
          <w:szCs w:val="60"/>
        </w:rPr>
        <w:t xml:space="preserve">btpAO</w:t>
      </w:r>
    </w:p>
    <w:p>
      <w:pPr>
        <w:pBdr>
          <w:bottom w:val="single" w:color="B45309" w:sz="8" w:space="10"/>
        </w:pBdr>
        <w:spacing w:after="60"/>
      </w:pPr>
      <w:r>
        <w:rPr>
          <w:rFonts w:ascii="Calibri" w:cs="Calibri" w:eastAsia="Calibri" w:hAnsi="Calibri"/>
          <w:b/>
          <w:bCs/>
          <w:i w:val="false"/>
          <w:iCs w:val="false"/>
          <w:color w:val="B45309"/>
          <w:sz w:val="26"/>
          <w:szCs w:val="26"/>
        </w:rPr>
        <w:t xml:space="preserve">Documentation technique interne — stack, intégrations et état réel</w:t>
      </w:r>
    </w:p>
    <w:p>
      <w:pPr>
        <w:spacing w:after="240" w:before="160"/>
      </w:pPr>
      <w:r>
        <w:rPr>
          <w:rFonts w:ascii="Calibri" w:cs="Calibri" w:eastAsia="Calibri" w:hAnsi="Calibri"/>
          <w:b w:val="false"/>
          <w:bCs w:val="false"/>
          <w:i/>
          <w:iCs/>
          <w:color w:val="64748B"/>
          <w:sz w:val="18"/>
          <w:szCs w:val="18"/>
        </w:rPr>
        <w:t xml:space="preserve">15 septembre 2026 — Usage interne uniquement</w:t>
      </w:r>
    </w:p>
    <w:p>
      <w:pPr>
        <w:spacing w:after="160"/>
      </w:pPr>
      <w:r>
        <w:rPr>
          <w:rFonts w:ascii="Calibri" w:cs="Calibri" w:eastAsia="Calibri" w:hAnsi="Calibri"/>
          <w:b w:val="false"/>
          <w:bCs w:val="false"/>
          <w:i w:val="false"/>
          <w:iCs w:val="false"/>
          <w:color w:val="334155"/>
          <w:sz w:val="20"/>
          <w:szCs w:val="20"/>
        </w:rPr>
        <w:t xml:space="preserve">Ce document est la contrepartie technique du document « Spécification fonctionnelle » : chaque fonction y est reliée à la technologie qui la fait réellement fonctionner, avec son statut exact au 15/09/2026. Toutes les informations ci-dessous viennent d'une lecture directe du code et de la base de données réels — aucune clé ni aucun secret n'est reproduit, seule leur présence et leur validité sont indiquées.</w:t>
      </w:r>
    </w:p>
    <w:p>
      <w:pPr>
        <w:pStyle w:val="Heading2"/>
        <w:spacing w:after="140" w:before="320"/>
      </w:pPr>
      <w:r>
        <w:rPr>
          <w:rFonts w:ascii="Calibri" w:cs="Calibri" w:eastAsia="Calibri" w:hAnsi="Calibri"/>
          <w:b/>
          <w:bCs/>
          <w:i w:val="false"/>
          <w:iCs w:val="false"/>
          <w:color w:val="0F172A"/>
          <w:sz w:val="28"/>
          <w:szCs w:val="28"/>
        </w:rPr>
        <w:t xml:space="preserve">1. Vue d'ensemble de l'architecture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Frontend</w:t>
            </w:r>
          </w:p>
        </w:tc>
        <w:tc>
          <w:tcPr>
            <w:tcW w:type="dxa" w:w="123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Next.js 14 (App Router), React 18, TypeScript, Tailwind CSS + Radix UI (shadcn), éditeur Tiptap, formulaires react-hook-form + zod. Environ 26 200 lignes de code.</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Backend</w:t>
            </w:r>
          </w:p>
        </w:tc>
        <w:tc>
          <w:tcPr>
            <w:tcW w:type="dxa" w:w="123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FastAPI (Python 3.11), Pydantic v2, SQLAlchemy 2.0 asynchrone (asyncpg). 164 routes réparties sur 19 fichiers. Environ 29 900 lignes de code.</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Base de données</w:t>
            </w:r>
          </w:p>
        </w:tc>
        <w:tc>
          <w:tcPr>
            <w:tcW w:type="dxa" w:w="123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Supabase — PostgreSQL 17.6, région eu-west-3 (Paris). 41 tables, Row Level Security active sur les 41. Extension pgvector 0.8.2 pour la recherche vectorielle. 28 migrations appliquées, la dernière le 11/09/2026.</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Tâches de fond</w:t>
            </w:r>
          </w:p>
        </w:tc>
        <w:tc>
          <w:tcPr>
            <w:tcW w:type="dxa" w:w="123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Celery + Redis (files default / ocr / generation), Celery Beat pour les tâches planifiées : veille réglementaire (5h), synchronisation du catalogue de modèles IA (4h), synchronisation SharePoint (toutes les 6h), purge RGPD (3h).</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Stockage de fichiers</w:t>
            </w:r>
          </w:p>
        </w:tc>
        <w:tc>
          <w:tcPr>
            <w:tcW w:type="dxa" w:w="123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MinIO (compatible S3). Aujourd'hui en instance locale (Docker, identifiants par défaut) — pas encore un stockage cloud de production.</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Conversion documentaire</w:t>
            </w:r>
          </w:p>
        </w:tc>
        <w:tc>
          <w:tcPr>
            <w:tcW w:type="dxa" w:w="123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LibreOffice en mode automatisé (headless) pour la conversion Word → PDF.</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Tests</w:t>
            </w:r>
          </w:p>
        </w:tc>
        <w:tc>
          <w:tcPr>
            <w:tcW w:type="dxa" w:w="123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47 fichiers de tests backend (pytest), vérification de types stricte sur le frontend (tsc --noEmit), Playwright pour les tests de bout en bout.</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Déploiement actuel</w:t>
            </w:r>
          </w:p>
        </w:tc>
        <w:tc>
          <w:tcPr>
            <w:tcW w:type="dxa" w:w="123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Docker Compose local, 7 services (redis, minio, minio-init, api, worker, beat, web). APP_ENV=development, DEBUG=true : pas encore déployé en production (section 5).</w:t>
            </w:r>
          </w:p>
        </w:tc>
      </w:tr>
    </w:tbl>
    <w:p>
      <w:r>
        <w:br w:type="page"/>
      </w:r>
    </w:p>
    <w:p>
      <w:pPr>
        <w:pStyle w:val="Heading2"/>
        <w:spacing w:after="140" w:before="320"/>
      </w:pPr>
      <w:r>
        <w:rPr>
          <w:rFonts w:ascii="Calibri" w:cs="Calibri" w:eastAsia="Calibri" w:hAnsi="Calibri"/>
          <w:b/>
          <w:bCs/>
          <w:i w:val="false"/>
          <w:iCs w:val="false"/>
          <w:color w:val="0F172A"/>
          <w:sz w:val="28"/>
          <w:szCs w:val="28"/>
        </w:rPr>
        <w:t xml:space="preserve">2. Tableau technique — miroir du document fonctionnel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6598"/>
        <w:gridCol w:w="2400"/>
      </w:tblGrid>
      <w:tr>
        <w:trPr>
          <w:tblHeader/>
        </w:trPr>
        <w:tc>
          <w:tcPr>
            <w:tcW w:type="dxa" w:w="3000"/>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Fonctionnalité</w:t>
            </w:r>
          </w:p>
        </w:tc>
        <w:tc>
          <w:tcPr>
            <w:tcW w:type="dxa" w:w="3400"/>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Techno / API réelle</w:t>
            </w:r>
          </w:p>
        </w:tc>
        <w:tc>
          <w:tcPr>
            <w:tcW w:type="dxa" w:w="6598"/>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Statut &amp; détail réel</w:t>
            </w:r>
          </w:p>
        </w:tc>
        <w:tc>
          <w:tcPr>
            <w:tcW w:type="dxa" w:w="2400"/>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Fichiers clés</w:t>
            </w:r>
          </w:p>
        </w:tc>
      </w:tr>
      <w:tr>
        <w:tc>
          <w:tcPr>
            <w:tcW w:type="dxa" w:w="15398"/>
            <w:gridSpan w:val="4"/>
            <w:tcBorders>
              <w:top w:val="single" w:color="FDE9D0" w:sz="2"/>
              <w:left w:val="single" w:color="FDE9D0" w:sz="2"/>
              <w:bottom w:val="single" w:color="FDE9D0" w:sz="2"/>
              <w:right w:val="single" w:color="FDE9D0" w:sz="2"/>
            </w:tcBorders>
            <w:shd w:fill="FDE9D0" w:color="auto" w:val="clear"/>
            <w:tcMar>
              <w:top w:type="dxa" w:w="100"/>
              <w:left w:type="dxa" w:w="110"/>
              <w:bottom w:type="dxa" w:w="100"/>
              <w:right w:type="dxa" w:w="110"/>
            </w:tcMar>
          </w:tcPr>
          <w:p>
            <w:pPr>
              <w:spacing w:after="30" w:before="30"/>
            </w:pPr>
            <w:r>
              <w:rPr>
                <w:rFonts w:ascii="Calibri" w:cs="Calibri" w:eastAsia="Calibri" w:hAnsi="Calibri"/>
                <w:b/>
                <w:bCs/>
                <w:i w:val="false"/>
                <w:iCs w:val="false"/>
                <w:color w:val="0F172A"/>
                <w:sz w:val="20"/>
                <w:szCs w:val="20"/>
              </w:rPr>
              <w:t xml:space="preserve">1. Analyse du dossier de consultation (DCE)</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Lecture automatique des pièces déposées (PDF, Word)</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pdfplumber (moteur gratuit, local) en première passe sur 100 % des pages ; pypdf en second recours ; bascule vers Azure Document Intelligence seulement pour les pages dont le texte extrait est trop pauvre (moins de 40 caractères utiles, signe d'une page scannée).</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Azure Document Intelligence est câblé mais la clé configurée aujourd'hui est factice : seul le moteur gratuit est réellement actif. Il couvre les PDF numériques natifs (l'immense majorité des DCE français) ; un document scanné/image ne bénéficie pas encore du secours payant.</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ocr_service.py, ocr_cost_service.py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Extraction automatique des critères de notation</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Appel au modèle de langage (via le routeur de modèles interne) sur le texte du règlement de consultation, jusqu'à 18 000 caractères.</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avec la clé Anthropic réelle. Le repli sur une grille générique est marqué en base (extracted_from) et affiché à l'utilisateur, jamais présenté comme une vraie extraction.</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criteria_extraction_service.py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Détection automatique du pays et de la réglementation du marché</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Moteur de règles déterministe (score pondéré : domaine de portail officiel cité, marqueur réglementaire propre au pays, devise, nom de pays) — aucun modèle de langage impliqué dans la décision elle-même.</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sans dépendance à une clé externe. N'écrase jamais un choix déjà fait manuellement par l'utilisateur.</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country_detection_service.py</w:t>
            </w:r>
          </w:p>
        </w:tc>
      </w:tr>
      <w:tr>
        <w:tc>
          <w:tcPr>
            <w:tcW w:type="dxa" w:w="15398"/>
            <w:gridSpan w:val="4"/>
            <w:tcBorders>
              <w:top w:val="single" w:color="FDE9D0" w:sz="2"/>
              <w:left w:val="single" w:color="FDE9D0" w:sz="2"/>
              <w:bottom w:val="single" w:color="FDE9D0" w:sz="2"/>
              <w:right w:val="single" w:color="FDE9D0" w:sz="2"/>
            </w:tcBorders>
            <w:shd w:fill="FDE9D0" w:color="auto" w:val="clear"/>
            <w:tcMar>
              <w:top w:type="dxa" w:w="100"/>
              <w:left w:type="dxa" w:w="110"/>
              <w:bottom w:type="dxa" w:w="100"/>
              <w:right w:type="dxa" w:w="110"/>
            </w:tcMar>
          </w:tcPr>
          <w:p>
            <w:pPr>
              <w:spacing w:after="30" w:before="30"/>
            </w:pPr>
            <w:r>
              <w:rPr>
                <w:rFonts w:ascii="Calibri" w:cs="Calibri" w:eastAsia="Calibri" w:hAnsi="Calibri"/>
                <w:b/>
                <w:bCs/>
                <w:i w:val="false"/>
                <w:iCs w:val="false"/>
                <w:color w:val="0F172A"/>
                <w:sz w:val="20"/>
                <w:szCs w:val="20"/>
              </w:rPr>
              <w:t xml:space="preserve">2. Rédaction du mémoire technique</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Rédaction assistée par IA des chapitres du mémoire</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Recherche vectorielle (RAG) dans vos documents et votre base de connaissances, combinée à un appel au modèle de langage, orchestré par un routeur de modèles configurable.</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Moteur principal : Anthropic (Claude), clé réelle et active. Un fournisseur de repli (Mistral) est prévu et configurable mais sa clé est aujourd'hui factice — le repli automatique n'est donc pas opérationnel tant qu'une vraie clé n'est pas ajoutée.</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llm_generator.py, model_routing_service.py, rag_service.py, workers/tasks.py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Garde-fous anti-invention</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Contraintes de génération et prompts qui interdisent d'affirmer ce qui n'est pas retrouvé par la recherche documentaire ou officielle ; score de conformité recalculé, jamais déclaratif.</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Le moteur de secours (si le modèle principal échoue) n'attribue plus jamais de score flatteur par défaut (0 % explicite au lieu de 98 % par défaut).</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llm_generator.py, workers/tasks.py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Détecteur de généricité (spécificité)</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Service dédié sans modèle de langage : vocabulaire de faits réels extrait de la base (acheteur, lieu, critères, tâches, organigramme, SIRET...), comparaison mécanique après normalisation Unicode (neutralise accents français et voyelles courtes arabes).</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Limite assumée : un fait reformulé sans reprendre le nom ou le chiffre exact peut échapper à la détection — c'est un filet mécanique et auditable, pas une relecture éditoriale.</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specificite_service.py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Vos données déclarées ne sont jamais réécrites</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Règle explicite dans le service qui matérialise les visuels : les champs déclarés par le client (équipe, phasage, date de démarrage) priment systématiquement sur la proposition du modèle, qui ne sert plus qu'à compléter ce qui n'a pas été déclaré.</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Aucun nom de personne ne peut être inventé : un rôle non déclaré affiche « à pourvoir ».</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visual_spec_service.py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Traduction du mémoire déjà rédigé</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Appel au modèle de langage section par section (≈25 secondes chacune), conservation du HTML, archivage automatique du texte d'origine dans l'historique de versions.</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(Anthropic). Le sens d'écriture (gauche-à-droite / droite-à-gauche) est déterminé par le contenu réel du texte, pas par un simple drapeau de langue.</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traduction_service.py</w:t>
            </w:r>
          </w:p>
        </w:tc>
      </w:tr>
      <w:tr>
        <w:tc>
          <w:tcPr>
            <w:tcW w:type="dxa" w:w="15398"/>
            <w:gridSpan w:val="4"/>
            <w:tcBorders>
              <w:top w:val="single" w:color="FDE9D0" w:sz="2"/>
              <w:left w:val="single" w:color="FDE9D0" w:sz="2"/>
              <w:bottom w:val="single" w:color="FDE9D0" w:sz="2"/>
              <w:right w:val="single" w:color="FDE9D0" w:sz="2"/>
            </w:tcBorders>
            <w:shd w:fill="FDE9D0" w:color="auto" w:val="clear"/>
            <w:tcMar>
              <w:top w:type="dxa" w:w="100"/>
              <w:left w:type="dxa" w:w="110"/>
              <w:bottom w:type="dxa" w:w="100"/>
              <w:right w:type="dxa" w:w="110"/>
            </w:tcMar>
          </w:tcPr>
          <w:p>
            <w:pPr>
              <w:spacing w:after="30" w:before="30"/>
            </w:pPr>
            <w:r>
              <w:rPr>
                <w:rFonts w:ascii="Calibri" w:cs="Calibri" w:eastAsia="Calibri" w:hAnsi="Calibri"/>
                <w:b/>
                <w:bCs/>
                <w:i w:val="false"/>
                <w:iCs w:val="false"/>
                <w:color w:val="0F172A"/>
                <w:sz w:val="20"/>
                <w:szCs w:val="20"/>
              </w:rPr>
              <w:t xml:space="preserve">3. Aide à la décision</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Analyse Go/No-Go sur des critères réels</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Moteur de règles pur (aucun modèle de langage dans le calcul du score, choix délibéré pour un résultat vérifiable et explicable), 4 facteurs pondérés.</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sans dépendance à une clé externe. Recalculé à chaque consultation plutôt que figé après la première analyse.</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go_no_go_service.py, go_no_go_i18n.py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Carte de transparence « Ce que l'application a fait à votre place »</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Service dédié qui journalise chaque décision automatique avec un code identifiable, restitué dans la langue de l'interface.</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transparence_service.py</w:t>
            </w:r>
          </w:p>
        </w:tc>
      </w:tr>
      <w:tr>
        <w:tc>
          <w:tcPr>
            <w:tcW w:type="dxa" w:w="15398"/>
            <w:gridSpan w:val="4"/>
            <w:tcBorders>
              <w:top w:val="single" w:color="FDE9D0" w:sz="2"/>
              <w:left w:val="single" w:color="FDE9D0" w:sz="2"/>
              <w:bottom w:val="single" w:color="FDE9D0" w:sz="2"/>
              <w:right w:val="single" w:color="FDE9D0" w:sz="2"/>
            </w:tcBorders>
            <w:shd w:fill="FDE9D0" w:color="auto" w:val="clear"/>
            <w:tcMar>
              <w:top w:type="dxa" w:w="100"/>
              <w:left w:type="dxa" w:w="110"/>
              <w:bottom w:type="dxa" w:w="100"/>
              <w:right w:type="dxa" w:w="110"/>
            </w:tcMar>
          </w:tcPr>
          <w:p>
            <w:pPr>
              <w:spacing w:after="30" w:before="30"/>
            </w:pPr>
            <w:r>
              <w:rPr>
                <w:rFonts w:ascii="Calibri" w:cs="Calibri" w:eastAsia="Calibri" w:hAnsi="Calibri"/>
                <w:b/>
                <w:bCs/>
                <w:i w:val="false"/>
                <w:iCs w:val="false"/>
                <w:color w:val="0F172A"/>
                <w:sz w:val="20"/>
                <w:szCs w:val="20"/>
              </w:rPr>
              <w:t xml:space="preserve">4. Visuels du dossier</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Planning Gantt automatique</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Rendu par Matplotlib en 300 DPI, structure hiérarchique stockée en base ; réglages partagés entre l'écran, l'export Word et l'export PDF.</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gantt_service.py, gantt_detail_service.py, visual_spec_service.py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Organigramme de chantier automatique</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Rendu image via Pillow (PIL), couleurs dérivées automatiquement de la charte graphique déclarée par le client.</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diagram_service.py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Export Word et PDF fidèles</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Injection du contenu et des visuels dans un modèle .docx via docxtpl (Jinja2) et python-docx ; conversion PDF par LibreOffice automatisé ; fichiers stockés sur MinIO (compatible S3).</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À défaut d'un gabarit explicitement importé, la mise en page est déduite du mémoire de référence le plus fourni déjà déposé par le client.</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exporter_service.py, export.py, template_source_service.py</w:t>
            </w:r>
          </w:p>
        </w:tc>
      </w:tr>
      <w:tr>
        <w:tc>
          <w:tcPr>
            <w:tcW w:type="dxa" w:w="15398"/>
            <w:gridSpan w:val="4"/>
            <w:tcBorders>
              <w:top w:val="single" w:color="FDE9D0" w:sz="2"/>
              <w:left w:val="single" w:color="FDE9D0" w:sz="2"/>
              <w:bottom w:val="single" w:color="FDE9D0" w:sz="2"/>
              <w:right w:val="single" w:color="FDE9D0" w:sz="2"/>
            </w:tcBorders>
            <w:shd w:fill="FDE9D0" w:color="auto" w:val="clear"/>
            <w:tcMar>
              <w:top w:type="dxa" w:w="100"/>
              <w:left w:type="dxa" w:w="110"/>
              <w:bottom w:type="dxa" w:w="100"/>
              <w:right w:type="dxa" w:w="110"/>
            </w:tcMar>
          </w:tcPr>
          <w:p>
            <w:pPr>
              <w:spacing w:after="30" w:before="30"/>
            </w:pPr>
            <w:r>
              <w:rPr>
                <w:rFonts w:ascii="Calibri" w:cs="Calibri" w:eastAsia="Calibri" w:hAnsi="Calibri"/>
                <w:b/>
                <w:bCs/>
                <w:i w:val="false"/>
                <w:iCs w:val="false"/>
                <w:color w:val="0F172A"/>
                <w:sz w:val="20"/>
                <w:szCs w:val="20"/>
              </w:rPr>
              <w:t xml:space="preserve">5. Pièces administratives</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Formulaires administratifs pré-remplis</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Génération de gabarits .docx pré-remplis à partir du profil de l'entreprise et du dossier ; générateurs dédiés pour les formats propres au Moyen-Orient.</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pieces_service.py, mea_dossier_service.py, mea_structure_service.py</w:t>
            </w:r>
          </w:p>
        </w:tc>
      </w:tr>
      <w:tr>
        <w:tc>
          <w:tcPr>
            <w:tcW w:type="dxa" w:w="15398"/>
            <w:gridSpan w:val="4"/>
            <w:tcBorders>
              <w:top w:val="single" w:color="FDE9D0" w:sz="2"/>
              <w:left w:val="single" w:color="FDE9D0" w:sz="2"/>
              <w:bottom w:val="single" w:color="FDE9D0" w:sz="2"/>
              <w:right w:val="single" w:color="FDE9D0" w:sz="2"/>
            </w:tcBorders>
            <w:shd w:fill="FDE9D0" w:color="auto" w:val="clear"/>
            <w:tcMar>
              <w:top w:type="dxa" w:w="100"/>
              <w:left w:type="dxa" w:w="110"/>
              <w:bottom w:type="dxa" w:w="100"/>
              <w:right w:type="dxa" w:w="110"/>
            </w:tcMar>
          </w:tcPr>
          <w:p>
            <w:pPr>
              <w:spacing w:after="30" w:before="30"/>
            </w:pPr>
            <w:r>
              <w:rPr>
                <w:rFonts w:ascii="Calibri" w:cs="Calibri" w:eastAsia="Calibri" w:hAnsi="Calibri"/>
                <w:b/>
                <w:bCs/>
                <w:i w:val="false"/>
                <w:iCs w:val="false"/>
                <w:color w:val="0F172A"/>
                <w:sz w:val="20"/>
                <w:szCs w:val="20"/>
              </w:rPr>
              <w:t xml:space="preserve">6. Couverture internationale</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Interface et documents en français, anglais et arabe</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Système d'internationalisation du frontend ; direction du texte (gauche-à-droite / droite-à-gauche) déterminée par le contenu réel de chaque paragraphe.</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i18n-provider.tsx, traduction_service.py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Réglementation couverte dans 11 pays</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Table dédiée alimentée à partir de recherches sourcées, avec traçabilité de la provenance, de la date et du niveau de confiance de chaque champ.</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Tout point marqué « non vérifié » dans la recherche d'origine est explicitement exclu plutôt que deviné.</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regulatory_service.py, table country_regulatory_profiles</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Veille réglementaire automatique quotidienne</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Tâche planifiée (Celery Beat, 5h du matin), requête HTTP directe sur chaque page officielle déclarée, empreinte de contenu pour détecter un vrai changement, garde-fou contre les pages de blocage (Cloudflare, captcha).</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tant que le serveur applicatif tourne en continu. Fonctionne aujourd'hui sur votre machine ; deviendra permanent dès l'hébergement en ligne (section 5).</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regulatory_watch_service.py, table country_official_sources</w:t>
            </w:r>
          </w:p>
        </w:tc>
      </w:tr>
      <w:tr>
        <w:tc>
          <w:tcPr>
            <w:tcW w:type="dxa" w:w="15398"/>
            <w:gridSpan w:val="4"/>
            <w:tcBorders>
              <w:top w:val="single" w:color="FDE9D0" w:sz="2"/>
              <w:left w:val="single" w:color="FDE9D0" w:sz="2"/>
              <w:bottom w:val="single" w:color="FDE9D0" w:sz="2"/>
              <w:right w:val="single" w:color="FDE9D0" w:sz="2"/>
            </w:tcBorders>
            <w:shd w:fill="FDE9D0" w:color="auto" w:val="clear"/>
            <w:tcMar>
              <w:top w:type="dxa" w:w="100"/>
              <w:left w:type="dxa" w:w="110"/>
              <w:bottom w:type="dxa" w:w="100"/>
              <w:right w:type="dxa" w:w="110"/>
            </w:tcMar>
          </w:tcPr>
          <w:p>
            <w:pPr>
              <w:spacing w:after="30" w:before="30"/>
            </w:pPr>
            <w:r>
              <w:rPr>
                <w:rFonts w:ascii="Calibri" w:cs="Calibri" w:eastAsia="Calibri" w:hAnsi="Calibri"/>
                <w:b/>
                <w:bCs/>
                <w:i w:val="false"/>
                <w:iCs w:val="false"/>
                <w:color w:val="0F172A"/>
                <w:sz w:val="20"/>
                <w:szCs w:val="20"/>
              </w:rPr>
              <w:t xml:space="preserve">7. Votre entreprise, votre mémoire</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Base de connaissances centralisée par entreprise</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Stockage des documents et recherche par similarité vectorielle (pgvector) sur les fragments indexés.</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La recherche fonctionne, mais en mode dégradé aujourd'hui : la clé nécessaire à une vraie compréhension du sens (OpenAI ou Mistral) est encore factice, la recherche se fait donc par recoupement de mots plutôt que par sens réel (section 3).</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embedding_service.py, rag_service.py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Apprentissage automatique à partir de vos retours</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Extraction automatique catégorisée par mots-clés, déclenchée par l'enregistrement de l'issue d'un dossier, réinjectée dans les générations futures.</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Le mécanisme est actif et câblé de bout en bout, mais n'a encore capturé aucun enseignement réel sur votre tenant : aucun dossier n'a pour l'instant été clôturé avec un retour acheteur saisi.</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learning_service.py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Connecteur SharePoint</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Connexion Microsoft Graph par identifiants dédiés, synchronisation incrémentale par curseur (delta-query), secrets chiffrés, resynchronisation automatique toutes les 6 heures.</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Backend et écran actifs et testés unitairement. Aucune connexion à un compte Microsoft 365 réel n'a encore été établie : la dernière étape nécessite la création d'un accès dédié par le service informatique du client concerné.</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sharepoint_service.py, sharepoint.py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Gestion de votre équipe</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Gestion des rôles par utilisateur (RBAC), invitations d'équipe.</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Les invitations par e-mail nécessitent un serveur d'envoi (SMTP), non configuré aujourd'hui — l'ajout de membres reste possible, l'e-mail automatique non.</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team.py</w:t>
            </w:r>
          </w:p>
        </w:tc>
      </w:tr>
      <w:tr>
        <w:tc>
          <w:tcPr>
            <w:tcW w:type="dxa" w:w="15398"/>
            <w:gridSpan w:val="4"/>
            <w:tcBorders>
              <w:top w:val="single" w:color="FDE9D0" w:sz="2"/>
              <w:left w:val="single" w:color="FDE9D0" w:sz="2"/>
              <w:bottom w:val="single" w:color="FDE9D0" w:sz="2"/>
              <w:right w:val="single" w:color="FDE9D0" w:sz="2"/>
            </w:tcBorders>
            <w:shd w:fill="FDE9D0" w:color="auto" w:val="clear"/>
            <w:tcMar>
              <w:top w:type="dxa" w:w="100"/>
              <w:left w:type="dxa" w:w="110"/>
              <w:bottom w:type="dxa" w:w="100"/>
              <w:right w:type="dxa" w:w="110"/>
            </w:tcMar>
          </w:tcPr>
          <w:p>
            <w:pPr>
              <w:spacing w:after="30" w:before="30"/>
            </w:pPr>
            <w:r>
              <w:rPr>
                <w:rFonts w:ascii="Calibri" w:cs="Calibri" w:eastAsia="Calibri" w:hAnsi="Calibri"/>
                <w:b/>
                <w:bCs/>
                <w:i w:val="false"/>
                <w:iCs w:val="false"/>
                <w:color w:val="0F172A"/>
                <w:sz w:val="20"/>
                <w:szCs w:val="20"/>
              </w:rPr>
              <w:t xml:space="preserve">8. Sécurité et maîtrise des coûts</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Cloisonnement strict entre entreprises clientes</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Sécurité au niveau ligne (Row Level Security) activée sur les 41 tables de la base, vérification systématique de l'espace client à chaque requête via le jeton d'authentification.</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security.py, migrations RLS</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Conformité RGPD</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Tâche planifiée (Celery Beat, 3h du matin).</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gdpr_service.py</w:t>
            </w:r>
          </w:p>
        </w:tc>
      </w:tr>
      <w:tr>
        <w:tc>
          <w:tcPr>
            <w:tcW w:type="dxa" w:w="3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Plafonds de dépense IA maîtrisés</w:t>
            </w:r>
          </w:p>
        </w:tc>
        <w:tc>
          <w:tcPr>
            <w:tcW w:type="dxa" w:w="3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Trois niveaux de plafond sur les tables de forfaits et d'abonnements, blocage propre (HTTP 402 « paiement requis ») en cas de dépassement plutôt qu'une erreur applicative.</w:t>
            </w:r>
          </w:p>
        </w:tc>
        <w:tc>
          <w:tcPr>
            <w:tcW w:type="dxa" w:w="65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Actif. La facturation automatique du dépassement (prélèvement réel) n'est pas encore branchée (section 3).</w:t>
            </w:r>
          </w:p>
        </w:tc>
        <w:tc>
          <w:tcPr>
            <w:tcW w:type="dxa" w:w="24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billing_service.py, cost_limits_service.py, ocr_cost_service.py</w:t>
            </w:r>
          </w:p>
        </w:tc>
      </w:tr>
    </w:tbl>
    <w:p>
      <w:pPr>
        <w:pStyle w:val="Heading2"/>
        <w:spacing w:after="140" w:before="320"/>
      </w:pPr>
      <w:r>
        <w:rPr>
          <w:rFonts w:ascii="Calibri" w:cs="Calibri" w:eastAsia="Calibri" w:hAnsi="Calibri"/>
          <w:b/>
          <w:bCs/>
          <w:i w:val="false"/>
          <w:iCs w:val="false"/>
          <w:color w:val="0F172A"/>
          <w:sz w:val="28"/>
          <w:szCs w:val="28"/>
        </w:rPr>
        <w:t xml:space="preserve">3. État des intégrations externes au 15/09/2026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9798"/>
      </w:tblGrid>
      <w:tr>
        <w:tc>
          <w:tcPr>
            <w:tcW w:type="dxa" w:w="3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Anthropic (Claude)</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bCs/>
                <w:i w:val="false"/>
                <w:iCs w:val="false"/>
                <w:color w:val="047857"/>
                <w:sz w:val="18"/>
                <w:szCs w:val="18"/>
              </w:rPr>
              <w:t xml:space="preserve">Actif</w:t>
            </w:r>
          </w:p>
        </w:tc>
        <w:tc>
          <w:tcPr>
            <w:tcW w:type="dxa" w:w="97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Moteur principal de génération et de traduction ; clé réelle en place et fonctionnelle.</w:t>
            </w:r>
          </w:p>
        </w:tc>
      </w:tr>
      <w:tr>
        <w:tc>
          <w:tcPr>
            <w:tcW w:type="dxa" w:w="3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Mistral</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bCs/>
                <w:i w:val="false"/>
                <w:iCs w:val="false"/>
                <w:color w:val="B45309"/>
                <w:sz w:val="18"/>
                <w:szCs w:val="18"/>
              </w:rPr>
              <w:t xml:space="preserve">Dégradé</w:t>
            </w:r>
          </w:p>
        </w:tc>
        <w:tc>
          <w:tcPr>
            <w:tcW w:type="dxa" w:w="97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Prévu comme fournisseur de repli, mais la clé actuelle n'est pas une vraie clé (3 caractères) : le repli n'est pas opérationnel en pratique.</w:t>
            </w:r>
          </w:p>
        </w:tc>
      </w:tr>
      <w:tr>
        <w:tc>
          <w:tcPr>
            <w:tcW w:type="dxa" w:w="3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OpenAI (embeddings)</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bCs/>
                <w:i w:val="false"/>
                <w:iCs w:val="false"/>
                <w:color w:val="B45309"/>
                <w:sz w:val="18"/>
                <w:szCs w:val="18"/>
              </w:rPr>
              <w:t xml:space="preserve">Dégradé</w:t>
            </w:r>
          </w:p>
        </w:tc>
        <w:tc>
          <w:tcPr>
            <w:tcW w:type="dxa" w:w="97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Clé actuelle non valide (6 caractères) : la recherche dans la base de connaissances fonctionne par mots-clés, pas par sens réel.</w:t>
            </w:r>
          </w:p>
        </w:tc>
      </w:tr>
      <w:tr>
        <w:tc>
          <w:tcPr>
            <w:tcW w:type="dxa" w:w="3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Azure Document Intelligence (OCR premium)</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bCs/>
                <w:i w:val="false"/>
                <w:iCs w:val="false"/>
                <w:color w:val="B45309"/>
                <w:sz w:val="18"/>
                <w:szCs w:val="18"/>
              </w:rPr>
              <w:t xml:space="preserve">Dégradé</w:t>
            </w:r>
          </w:p>
        </w:tc>
        <w:tc>
          <w:tcPr>
            <w:tcW w:type="dxa" w:w="97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Clé configurée non valide : pas de secours payant pour les documents scannés/image ; le moteur gratuit reste actif pour les PDF numériques natifs.</w:t>
            </w:r>
          </w:p>
        </w:tc>
      </w:tr>
      <w:tr>
        <w:tc>
          <w:tcPr>
            <w:tcW w:type="dxa" w:w="3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Serper / Brave (recherche web)</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bCs/>
                <w:i w:val="false"/>
                <w:iCs w:val="false"/>
                <w:color w:val="B91C1C"/>
                <w:sz w:val="18"/>
                <w:szCs w:val="18"/>
              </w:rPr>
              <w:t xml:space="preserve">Absent</w:t>
            </w:r>
          </w:p>
        </w:tc>
        <w:tc>
          <w:tcPr>
            <w:tcW w:type="dxa" w:w="97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Aucune clé renseignée : pas de citation de sources web supplémentaires pendant la rédaction (dégradation propre, sans erreur). Sans impact sur la veille réglementaire ni sur vos sites de référence déclarés, qui accèdent directement aux pages sans passer par un moteur de recherche.</w:t>
            </w:r>
          </w:p>
        </w:tc>
      </w:tr>
      <w:tr>
        <w:tc>
          <w:tcPr>
            <w:tcW w:type="dxa" w:w="3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Stripe (facturation)</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bCs/>
                <w:i w:val="false"/>
                <w:iCs w:val="false"/>
                <w:color w:val="B91C1C"/>
                <w:sz w:val="18"/>
                <w:szCs w:val="18"/>
              </w:rPr>
              <w:t xml:space="preserve">Absent</w:t>
            </w:r>
          </w:p>
        </w:tc>
        <w:tc>
          <w:tcPr>
            <w:tcW w:type="dxa" w:w="97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Les plafonds et quotas sont bien appliqués, mais aucun encaissement automatique n'est branché.</w:t>
            </w:r>
          </w:p>
        </w:tc>
      </w:tr>
      <w:tr>
        <w:tc>
          <w:tcPr>
            <w:tcW w:type="dxa" w:w="3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SMTP (envoi d'e-mails)</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bCs/>
                <w:i w:val="false"/>
                <w:iCs w:val="false"/>
                <w:color w:val="B91C1C"/>
                <w:sz w:val="18"/>
                <w:szCs w:val="18"/>
              </w:rPr>
              <w:t xml:space="preserve">Absent</w:t>
            </w:r>
          </w:p>
        </w:tc>
        <w:tc>
          <w:tcPr>
            <w:tcW w:type="dxa" w:w="97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Réinitialisation de mot de passe et invitations d'équipe : échec silencieux et volontaire, sans e-mail réellement envoyé.</w:t>
            </w:r>
          </w:p>
        </w:tc>
      </w:tr>
      <w:tr>
        <w:tc>
          <w:tcPr>
            <w:tcW w:type="dxa" w:w="3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Stockage fichiers (S3 / MinIO)</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bCs/>
                <w:i w:val="false"/>
                <w:iCs w:val="false"/>
                <w:color w:val="B45309"/>
                <w:sz w:val="18"/>
                <w:szCs w:val="18"/>
              </w:rPr>
              <w:t xml:space="preserve">Local uniquement</w:t>
            </w:r>
          </w:p>
        </w:tc>
        <w:tc>
          <w:tcPr>
            <w:tcW w:type="dxa" w:w="97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Instance MinIO locale avec identifiants par défaut ; à basculer vers un stockage cloud avant l'ouverture au public.</w:t>
            </w:r>
          </w:p>
        </w:tc>
      </w:tr>
      <w:tr>
        <w:tc>
          <w:tcPr>
            <w:tcW w:type="dxa" w:w="3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Clé de service Supabase</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bCs/>
                <w:i w:val="false"/>
                <w:iCs w:val="false"/>
                <w:color w:val="B91C1C"/>
                <w:sz w:val="18"/>
                <w:szCs w:val="18"/>
              </w:rPr>
              <w:t xml:space="preserve">Vide</w:t>
            </w:r>
          </w:p>
        </w:tc>
        <w:tc>
          <w:tcPr>
            <w:tcW w:type="dxa" w:w="97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SUPABASE_SERVICE_ROLE_KEY vide, signalée depuis fin août. Impact limité aujourd'hui car l'essentiel des accès passe par la connexion PostgreSQL directe, mais à renseigner avant la mise en production.</w:t>
            </w:r>
          </w:p>
        </w:tc>
      </w:tr>
      <w:tr>
        <w:tc>
          <w:tcPr>
            <w:tcW w:type="dxa" w:w="3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Environnement d'exécution</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bCs/>
                <w:i w:val="false"/>
                <w:iCs w:val="false"/>
                <w:color w:val="B45309"/>
                <w:sz w:val="18"/>
                <w:szCs w:val="18"/>
              </w:rPr>
              <w:t xml:space="preserve">Développement</w:t>
            </w:r>
          </w:p>
        </w:tc>
        <w:tc>
          <w:tcPr>
            <w:tcW w:type="dxa" w:w="97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APP_ENV=development, DEBUG=true : la plateforme tourne aujourd'hui sur votre machine, pas encore hébergée en ligne.</w:t>
            </w:r>
          </w:p>
        </w:tc>
      </w:tr>
    </w:tbl>
    <w:p>
      <w:r>
        <w:br w:type="page"/>
      </w:r>
    </w:p>
    <w:p>
      <w:pPr>
        <w:pStyle w:val="Heading2"/>
        <w:spacing w:after="140" w:before="320"/>
      </w:pPr>
      <w:r>
        <w:rPr>
          <w:rFonts w:ascii="Calibri" w:cs="Calibri" w:eastAsia="Calibri" w:hAnsi="Calibri"/>
          <w:b/>
          <w:bCs/>
          <w:i w:val="false"/>
          <w:iCs w:val="false"/>
          <w:color w:val="0F172A"/>
          <w:sz w:val="28"/>
          <w:szCs w:val="28"/>
        </w:rPr>
        <w:t xml:space="preserve">4. Base de données</w:t>
      </w:r>
    </w:p>
    <w:p>
      <w:pPr>
        <w:spacing w:after="160"/>
      </w:pPr>
      <w:r>
        <w:rPr>
          <w:rFonts w:ascii="Calibri" w:cs="Calibri" w:eastAsia="Calibri" w:hAnsi="Calibri"/>
          <w:b w:val="false"/>
          <w:bCs w:val="false"/>
          <w:i w:val="false"/>
          <w:iCs w:val="false"/>
          <w:color w:val="334155"/>
          <w:sz w:val="20"/>
          <w:szCs w:val="20"/>
        </w:rPr>
        <w:t xml:space="preserve">Supabase PostgreSQL 17.6, région eu-west-3 (Paris), projet ykdbjsvwzxeftlddubgy. 41 tables, Row Level Security activée sur les 41 sans exception.</w:t>
      </w:r>
    </w:p>
    <w:p>
      <w:pPr>
        <w:pStyle w:val="Heading3"/>
        <w:spacing w:after="100" w:before="220"/>
      </w:pPr>
      <w:r>
        <w:rPr>
          <w:rFonts w:ascii="Calibri" w:cs="Calibri" w:eastAsia="Calibri" w:hAnsi="Calibri"/>
          <w:b/>
          <w:bCs/>
          <w:i w:val="false"/>
          <w:iCs w:val="false"/>
          <w:color w:val="B45309"/>
          <w:sz w:val="22"/>
          <w:szCs w:val="22"/>
        </w:rPr>
        <w:t xml:space="preserve">4.1 Tables par thème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1298"/>
      </w:tblGrid>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Identité &amp; organisation</w:t>
            </w:r>
          </w:p>
        </w:tc>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7</w:t>
            </w:r>
          </w:p>
        </w:tc>
        <w:tc>
          <w:tcPr>
            <w:tcW w:type="dxa" w:w="112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tenants, tenants_settings, users, profiles, tenant_invitations, password_reset_tokens, audit_logs</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Dossiers d'appel d'offres</w:t>
            </w:r>
          </w:p>
        </w:tc>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6</w:t>
            </w:r>
          </w:p>
        </w:tc>
        <w:tc>
          <w:tcPr>
            <w:tcW w:type="dxa" w:w="112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projects, project_decisions, project_go_no_go_analyses, project_gantt_tasks, project_organigramme_nodes, project_pricing_lines</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Pièces du marché (DCE)</w:t>
            </w:r>
          </w:p>
        </w:tc>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4</w:t>
            </w:r>
          </w:p>
        </w:tc>
        <w:tc>
          <w:tcPr>
            <w:tcW w:type="dxa" w:w="112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dce_documents, dce_criteria, dce_embeddings, dce_structural_patterns_global</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Base de connaissances entreprise</w:t>
            </w:r>
          </w:p>
        </w:tc>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7</w:t>
            </w:r>
          </w:p>
        </w:tc>
        <w:tc>
          <w:tcPr>
            <w:tcW w:type="dxa" w:w="112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company_assets, company_bootstrap_runs, tenant_documents, tenant_document_chunks, tenant_document_structures, knowledge_vectors, tenant_reference_urls</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Rédaction &amp; export</w:t>
            </w:r>
          </w:p>
        </w:tc>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4</w:t>
            </w:r>
          </w:p>
        </w:tc>
        <w:tc>
          <w:tcPr>
            <w:tcW w:type="dxa" w:w="112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generated_sections, generated_section_versions, export_jobs, export_templates</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Réglementation &amp; veille</w:t>
            </w:r>
          </w:p>
        </w:tc>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2</w:t>
            </w:r>
          </w:p>
        </w:tc>
        <w:tc>
          <w:tcPr>
            <w:tcW w:type="dxa" w:w="112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country_regulatory_profiles, country_official_sources</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Apprentissage</w:t>
            </w:r>
          </w:p>
        </w:tc>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w:t>
            </w:r>
          </w:p>
        </w:tc>
        <w:tc>
          <w:tcPr>
            <w:tcW w:type="dxa" w:w="112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tenant_learnings</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SharePoint</w:t>
            </w:r>
          </w:p>
        </w:tc>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2</w:t>
            </w:r>
          </w:p>
        </w:tc>
        <w:tc>
          <w:tcPr>
            <w:tcW w:type="dxa" w:w="112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sharepoint_connections, sharepoint_sync_items</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IA &amp; coûts</w:t>
            </w:r>
          </w:p>
        </w:tc>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5</w:t>
            </w:r>
          </w:p>
        </w:tc>
        <w:tc>
          <w:tcPr>
            <w:tcW w:type="dxa" w:w="112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llm_catalog_models, llm_usage_logs, ocr_usage_logs, tenant_ai_configs, tenant_usage_counters</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Facturation &amp; forfaits</w:t>
            </w:r>
          </w:p>
        </w:tc>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2</w:t>
            </w:r>
          </w:p>
        </w:tc>
        <w:tc>
          <w:tcPr>
            <w:tcW w:type="dxa" w:w="112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subscription_plans, tenant_subscriptions</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Plateforme</w:t>
            </w:r>
          </w:p>
        </w:tc>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w:t>
            </w:r>
          </w:p>
        </w:tc>
        <w:tc>
          <w:tcPr>
            <w:tcW w:type="dxa" w:w="112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platform_settings</w:t>
            </w:r>
          </w:p>
        </w:tc>
      </w:tr>
    </w:tbl>
    <w:p>
      <w:pPr>
        <w:pStyle w:val="Heading3"/>
        <w:spacing w:after="100" w:before="220"/>
      </w:pPr>
      <w:r>
        <w:rPr>
          <w:rFonts w:ascii="Calibri" w:cs="Calibri" w:eastAsia="Calibri" w:hAnsi="Calibri"/>
          <w:b/>
          <w:bCs/>
          <w:i w:val="false"/>
          <w:iCs w:val="false"/>
          <w:color w:val="B45309"/>
          <w:sz w:val="22"/>
          <w:szCs w:val="22"/>
        </w:rPr>
        <w:t xml:space="preserve">4.2 Extensions PostgreSQL actives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vector (pgvector) 0.8.2</w:t>
            </w:r>
          </w:p>
        </w:tc>
        <w:tc>
          <w:tcPr>
            <w:tcW w:type="dxa" w:w="121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Recherche vectorielle (RAG) sur les documents et la base de connaissances.</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pgcrypto</w:t>
            </w:r>
          </w:p>
        </w:tc>
        <w:tc>
          <w:tcPr>
            <w:tcW w:type="dxa" w:w="121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Fonctions cryptographiques — chiffrement des secrets (ex. identifiants SharePoint).</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uuid-ossp</w:t>
            </w:r>
          </w:p>
        </w:tc>
        <w:tc>
          <w:tcPr>
            <w:tcW w:type="dxa" w:w="121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Génération des identifiants uniques (UUID) de toutes les tables.</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pg_stat_statements</w:t>
            </w:r>
          </w:p>
        </w:tc>
        <w:tc>
          <w:tcPr>
            <w:tcW w:type="dxa" w:w="121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Statistiques de performance des requêtes SQL.</w:t>
            </w:r>
          </w:p>
        </w:tc>
      </w:tr>
      <w:tr>
        <w:tc>
          <w:tcPr>
            <w:tcW w:type="dxa" w:w="3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supabase_vault</w:t>
            </w:r>
          </w:p>
        </w:tc>
        <w:tc>
          <w:tcPr>
            <w:tcW w:type="dxa" w:w="121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Coffre-fort de secrets intégré à Supabase.</w:t>
            </w:r>
          </w:p>
        </w:tc>
      </w:tr>
    </w:tbl>
    <w:p>
      <w:pPr>
        <w:pStyle w:val="Heading3"/>
        <w:spacing w:after="100" w:before="220"/>
      </w:pPr>
      <w:r>
        <w:rPr>
          <w:rFonts w:ascii="Calibri" w:cs="Calibri" w:eastAsia="Calibri" w:hAnsi="Calibri"/>
          <w:b/>
          <w:bCs/>
          <w:i w:val="false"/>
          <w:iCs w:val="false"/>
          <w:color w:val="B45309"/>
          <w:sz w:val="22"/>
          <w:szCs w:val="22"/>
        </w:rPr>
        <w:t xml:space="preserve">4.3 Migrations</w:t>
      </w:r>
    </w:p>
    <w:p>
      <w:pPr>
        <w:spacing w:after="160"/>
      </w:pPr>
      <w:r>
        <w:rPr>
          <w:rFonts w:ascii="Calibri" w:cs="Calibri" w:eastAsia="Calibri" w:hAnsi="Calibri"/>
          <w:b w:val="false"/>
          <w:bCs w:val="false"/>
          <w:i w:val="false"/>
          <w:iCs w:val="false"/>
          <w:color w:val="334155"/>
          <w:sz w:val="20"/>
          <w:szCs w:val="20"/>
        </w:rPr>
        <w:t xml:space="preserve">28 migrations appliquées entre le 19/08 et le 11/09/2026. Principales étapes : schéma multi-tenant initial et RLS, facturation et abonnements, catalogue de modèles IA, quotas de volume et coûts OCR, connecteurs SharePoint, détection du pays du marché, hiérarchie du planning Gantt.</w:t>
      </w:r>
    </w:p>
    <w:p>
      <w:pPr>
        <w:pStyle w:val="Heading3"/>
        <w:spacing w:after="100" w:before="220"/>
      </w:pPr>
      <w:r>
        <w:rPr>
          <w:rFonts w:ascii="Calibri" w:cs="Calibri" w:eastAsia="Calibri" w:hAnsi="Calibri"/>
          <w:b/>
          <w:bCs/>
          <w:i w:val="false"/>
          <w:iCs w:val="false"/>
          <w:color w:val="B45309"/>
          <w:sz w:val="22"/>
          <w:szCs w:val="22"/>
        </w:rPr>
        <w:t xml:space="preserve">4.4 Forfaits actuels (valeurs réelles lues en base)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998"/>
        <w:gridCol w:w="1600"/>
        <w:gridCol w:w="1600"/>
        <w:gridCol w:w="1800"/>
        <w:gridCol w:w="1800"/>
        <w:gridCol w:w="1800"/>
        <w:gridCol w:w="1800"/>
        <w:gridCol w:w="2000"/>
      </w:tblGrid>
      <w:tr>
        <w:trPr>
          <w:tblHeader/>
        </w:trPr>
        <w:tc>
          <w:tcPr>
            <w:tcW w:type="dxa" w:w="2998"/>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Forfait</w:t>
            </w:r>
          </w:p>
        </w:tc>
        <w:tc>
          <w:tcPr>
            <w:tcW w:type="dxa" w:w="1600"/>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Prix HT/mois</w:t>
            </w:r>
          </w:p>
        </w:tc>
        <w:tc>
          <w:tcPr>
            <w:tcW w:type="dxa" w:w="1600"/>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Dossiers inclus</w:t>
            </w:r>
          </w:p>
        </w:tc>
        <w:tc>
          <w:tcPr>
            <w:tcW w:type="dxa" w:w="1800"/>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Plafond IA</w:t>
            </w:r>
          </w:p>
        </w:tc>
        <w:tc>
          <w:tcPr>
            <w:tcW w:type="dxa" w:w="1800"/>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Pages incluses</w:t>
            </w:r>
          </w:p>
        </w:tc>
        <w:tc>
          <w:tcPr>
            <w:tcW w:type="dxa" w:w="1800"/>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Plafond OCR</w:t>
            </w:r>
          </w:p>
        </w:tc>
        <w:tc>
          <w:tcPr>
            <w:tcW w:type="dxa" w:w="1800"/>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Questions incl.</w:t>
            </w:r>
          </w:p>
        </w:tc>
        <w:tc>
          <w:tcPr>
            <w:tcW w:type="dxa" w:w="2000"/>
            <w:tcBorders>
              <w:top w:val="single" w:color="0F172A" w:sz="2"/>
              <w:left w:val="single" w:color="0F172A" w:sz="2"/>
              <w:bottom w:val="single" w:color="0F172A" w:sz="2"/>
              <w:right w:val="single" w:color="0F172A" w:sz="2"/>
            </w:tcBorders>
            <w:shd w:fill="0F172A" w:color="auto" w:val="clear"/>
            <w:tcMar>
              <w:top w:type="dxa" w:w="90"/>
              <w:left w:type="dxa" w:w="110"/>
              <w:bottom w:type="dxa" w:w="90"/>
              <w:right w:type="dxa" w:w="110"/>
            </w:tcMar>
            <w:vAlign w:val="center"/>
          </w:tcPr>
          <w:p>
            <w:pPr>
              <w:spacing w:after="30" w:before="30"/>
            </w:pPr>
            <w:r>
              <w:rPr>
                <w:rFonts w:ascii="Calibri" w:cs="Calibri" w:eastAsia="Calibri" w:hAnsi="Calibri"/>
                <w:b/>
                <w:bCs/>
                <w:i w:val="false"/>
                <w:iCs w:val="false"/>
                <w:color w:val="FFFFFF"/>
                <w:sz w:val="18"/>
                <w:szCs w:val="18"/>
              </w:rPr>
              <w:t xml:space="preserve">SharePoint incl.</w:t>
            </w:r>
          </w:p>
        </w:tc>
      </w:tr>
      <w:tr>
        <w:tc>
          <w:tcPr>
            <w:tcW w:type="dxa" w:w="29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Forfait PME &amp; Artisan</w:t>
            </w:r>
          </w:p>
        </w:tc>
        <w:tc>
          <w:tcPr>
            <w:tcW w:type="dxa" w:w="1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199 €</w:t>
            </w:r>
          </w:p>
        </w:tc>
        <w:tc>
          <w:tcPr>
            <w:tcW w:type="dxa" w:w="1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3</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60 $</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750</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5 $</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150</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0 (forfaits sup.)</w:t>
            </w:r>
          </w:p>
        </w:tc>
      </w:tr>
      <w:tr>
        <w:tc>
          <w:tcPr>
            <w:tcW w:type="dxa" w:w="29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Forfait Entreprise Générale</w:t>
            </w:r>
          </w:p>
        </w:tc>
        <w:tc>
          <w:tcPr>
            <w:tcW w:type="dxa" w:w="1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499 €</w:t>
            </w:r>
          </w:p>
        </w:tc>
        <w:tc>
          <w:tcPr>
            <w:tcW w:type="dxa" w:w="1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10</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150 $</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3 000</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20 $</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500</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150</w:t>
            </w:r>
          </w:p>
        </w:tc>
      </w:tr>
      <w:tr>
        <w:tc>
          <w:tcPr>
            <w:tcW w:type="dxa" w:w="29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Grand Compte / Sur devis</w:t>
            </w:r>
          </w:p>
        </w:tc>
        <w:tc>
          <w:tcPr>
            <w:tcW w:type="dxa" w:w="1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Sur devis</w:t>
            </w:r>
          </w:p>
        </w:tc>
        <w:tc>
          <w:tcPr>
            <w:tcW w:type="dxa" w:w="16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50 (base)</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400 $</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15 000</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50 $</w:t>
            </w:r>
          </w:p>
        </w:tc>
        <w:tc>
          <w:tcPr>
            <w:tcW w:type="dxa" w:w="1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2 500</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1 000</w:t>
            </w:r>
          </w:p>
        </w:tc>
      </w:tr>
    </w:tbl>
    <w:p>
      <w:pPr>
        <w:spacing w:after="160"/>
      </w:pPr>
      <w:r>
        <w:rPr>
          <w:rFonts w:ascii="Calibri" w:cs="Calibri" w:eastAsia="Calibri" w:hAnsi="Calibri"/>
          <w:b w:val="false"/>
          <w:bCs w:val="false"/>
          <w:i/>
          <w:iCs/>
          <w:color w:val="334155"/>
          <w:sz w:val="20"/>
          <w:szCs w:val="20"/>
        </w:rPr>
        <w:t xml:space="preserve">Ces plafonds ont été revus à la hausse depuis leur définition initiale du 2 septembre — les valeurs ci-dessus sont celles en vigueur aujourd'hui, pas celles de la note de cadrage d'origine.</w:t>
      </w:r>
    </w:p>
    <w:p>
      <w:pPr>
        <w:pStyle w:val="Heading3"/>
        <w:spacing w:after="100" w:before="220"/>
      </w:pPr>
      <w:r>
        <w:rPr>
          <w:rFonts w:ascii="Calibri" w:cs="Calibri" w:eastAsia="Calibri" w:hAnsi="Calibri"/>
          <w:b/>
          <w:bCs/>
          <w:i w:val="false"/>
          <w:iCs w:val="false"/>
          <w:color w:val="B45309"/>
          <w:sz w:val="22"/>
          <w:szCs w:val="22"/>
        </w:rPr>
        <w:t xml:space="preserve">4.5 Espaces clients actuels (tenants)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8198"/>
      </w:tblGrid>
      <w:tr>
        <w:tc>
          <w:tcPr>
            <w:tcW w:type="dxa" w:w="5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Plateforme btpAO (Administration)</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19/08/2026</w:t>
            </w:r>
          </w:p>
        </w:tc>
        <w:tc>
          <w:tcPr>
            <w:tcW w:type="dxa" w:w="81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0 — espace technique, pas un client</w:t>
            </w:r>
          </w:p>
        </w:tc>
      </w:tr>
      <w:tr>
        <w:tc>
          <w:tcPr>
            <w:tcW w:type="dxa" w:w="5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BTP Entreprise &amp; Travaux Publics</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22/08/2026</w:t>
            </w:r>
          </w:p>
        </w:tc>
        <w:tc>
          <w:tcPr>
            <w:tcW w:type="dxa" w:w="81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6 — client pilote réel</w:t>
            </w:r>
          </w:p>
        </w:tc>
      </w:tr>
      <w:tr>
        <w:tc>
          <w:tcPr>
            <w:tcW w:type="dxa" w:w="5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EiffaBTP</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31/08/2026</w:t>
            </w:r>
          </w:p>
        </w:tc>
        <w:tc>
          <w:tcPr>
            <w:tcW w:type="dxa" w:w="81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0 — jeu de données de démonstration, pas un client réel</w:t>
            </w:r>
          </w:p>
        </w:tc>
      </w:tr>
      <w:tr>
        <w:tc>
          <w:tcPr>
            <w:tcW w:type="dxa" w:w="5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btpAO Plateforme SaaS</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10/09/2026</w:t>
            </w:r>
          </w:p>
        </w:tc>
        <w:tc>
          <w:tcPr>
            <w:tcW w:type="dxa" w:w="81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0 — votre propre espace administrateur</w:t>
            </w:r>
          </w:p>
        </w:tc>
      </w:tr>
      <w:tr>
        <w:tc>
          <w:tcPr>
            <w:tcW w:type="dxa" w:w="52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[TEST QA Claude] BTP Vérif SARL</w:t>
            </w:r>
          </w:p>
        </w:tc>
        <w:tc>
          <w:tcPr>
            <w:tcW w:type="dxa" w:w="20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14/09/2026</w:t>
            </w:r>
          </w:p>
        </w:tc>
        <w:tc>
          <w:tcPr>
            <w:tcW w:type="dxa" w:w="81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2 — compte de test ; à supprimer avant une démonstration commerciale</w:t>
            </w:r>
          </w:p>
        </w:tc>
      </w:tr>
    </w:tbl>
    <w:p>
      <w:r>
        <w:br w:type="page"/>
      </w:r>
    </w:p>
    <w:p>
      <w:pPr>
        <w:pStyle w:val="Heading2"/>
        <w:spacing w:after="140" w:before="320"/>
      </w:pPr>
      <w:r>
        <w:rPr>
          <w:rFonts w:ascii="Calibri" w:cs="Calibri" w:eastAsia="Calibri" w:hAnsi="Calibri"/>
          <w:b/>
          <w:bCs/>
          <w:i w:val="false"/>
          <w:iCs w:val="false"/>
          <w:color w:val="0F172A"/>
          <w:sz w:val="28"/>
          <w:szCs w:val="28"/>
        </w:rPr>
        <w:t xml:space="preserve">5. Déploiement actuel</w:t>
      </w:r>
    </w:p>
    <w:p>
      <w:pPr>
        <w:spacing w:after="160"/>
      </w:pPr>
      <w:r>
        <w:rPr>
          <w:rFonts w:ascii="Calibri" w:cs="Calibri" w:eastAsia="Calibri" w:hAnsi="Calibri"/>
          <w:b w:val="false"/>
          <w:bCs w:val="false"/>
          <w:i w:val="false"/>
          <w:iCs w:val="false"/>
          <w:color w:val="334155"/>
          <w:sz w:val="20"/>
          <w:szCs w:val="20"/>
        </w:rPr>
        <w:t xml:space="preserve">La plateforme tourne aujourd'hui en local via Docker Compose (redis, minio, minio-init, api, worker, beat, web), sur votre machine, en mode développement (APP_ENV=development, DEBUG=true). Un guide de mise en ligne détaillé a déjà été préparé séparément le 14/09 (7 phases, budget recommandé d'environ 106 $/mois pour Vercel + Render + Supabase, ou une alternative VPS unique à environ 60 $/mois) — à reprendre le moment venu. Deux conséquences concrètes de l'état actuel : la veille réglementaire quotidienne et la synchronisation SharePoint ne peuvent tourner que lorsque votre machine est allumée ; elles deviendront permanentes dès l'hébergement effectif.</w:t>
      </w:r>
    </w:p>
    <w:p>
      <w:pPr>
        <w:pStyle w:val="Heading2"/>
        <w:spacing w:after="140" w:before="320"/>
      </w:pPr>
      <w:r>
        <w:rPr>
          <w:rFonts w:ascii="Calibri" w:cs="Calibri" w:eastAsia="Calibri" w:hAnsi="Calibri"/>
          <w:b/>
          <w:bCs/>
          <w:i w:val="false"/>
          <w:iCs w:val="false"/>
          <w:color w:val="0F172A"/>
          <w:sz w:val="28"/>
          <w:szCs w:val="28"/>
        </w:rPr>
        <w:t xml:space="preserve">6. Priorités techniques avant lancement commercial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8698"/>
      </w:tblGrid>
      <w:tr>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1</w:t>
            </w:r>
          </w:p>
        </w:tc>
        <w:tc>
          <w:tcPr>
            <w:tcW w:type="dxa" w:w="5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Renseigner une vraie clé OpenAI ou Mistral pour les embeddings.</w:t>
            </w:r>
          </w:p>
        </w:tc>
        <w:tc>
          <w:tcPr>
            <w:tcW w:type="dxa" w:w="86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Fait passer la recherche dans la base de connaissances et le chat du mode « mots-clés » au mode « sens réel » — le point à plus fort impact perçu.</w:t>
            </w:r>
          </w:p>
        </w:tc>
      </w:tr>
      <w:tr>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2</w:t>
            </w:r>
          </w:p>
        </w:tc>
        <w:tc>
          <w:tcPr>
            <w:tcW w:type="dxa" w:w="5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Figer la version de litellm dans requirements.txt (ex. &gt;=1.40.0,&lt;1.60.0).</w:t>
            </w:r>
          </w:p>
        </w:tc>
        <w:tc>
          <w:tcPr>
            <w:tcW w:type="dxa" w:w="86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Une installation neuve casse aujourd'hui sous Python 3.10 ; sans impact en Docker (Python 3.11) mais fragile pour toute nouvelle machine de développement.</w:t>
            </w:r>
          </w:p>
        </w:tc>
      </w:tr>
      <w:tr>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3</w:t>
            </w:r>
          </w:p>
        </w:tc>
        <w:tc>
          <w:tcPr>
            <w:tcW w:type="dxa" w:w="5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Basculer le stockage fichiers vers un espace cloud et renseigner SUPABASE_SERVICE_ROLE_KEY.</w:t>
            </w:r>
          </w:p>
        </w:tc>
        <w:tc>
          <w:tcPr>
            <w:tcW w:type="dxa" w:w="86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Nécessaire avant toute ouverture au public ; aujourd'hui le stockage est local (Docker) et la clé de service Supabase est vide.</w:t>
            </w:r>
          </w:p>
        </w:tc>
      </w:tr>
      <w:tr>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4</w:t>
            </w:r>
          </w:p>
        </w:tc>
        <w:tc>
          <w:tcPr>
            <w:tcW w:type="dxa" w:w="5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Statuer sur le compte Supabase de production, aujourd'hui enregistré sous boyloyvoy@gmail.com.</w:t>
            </w:r>
          </w:p>
        </w:tc>
        <w:tc>
          <w:tcPr>
            <w:tcW w:type="dxa" w:w="86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Question d'accès et de facturation à trancher avant de dépendre de ce compte en production.</w:t>
            </w:r>
          </w:p>
        </w:tc>
      </w:tr>
      <w:tr>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5</w:t>
            </w:r>
          </w:p>
        </w:tc>
        <w:tc>
          <w:tcPr>
            <w:tcW w:type="dxa" w:w="5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Suivre le guide de mise en ligne déjà préparé.</w:t>
            </w:r>
          </w:p>
        </w:tc>
        <w:tc>
          <w:tcPr>
            <w:tcW w:type="dxa" w:w="86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Hébergement Vercel + Render + Supabase (≈106 $/mois) ou alternative VPS unique (≈60 $/mois) — la veille réglementaire et la synchronisation SharePoint ne tourneront en continu qu'une fois hébergé.</w:t>
            </w:r>
          </w:p>
        </w:tc>
      </w:tr>
      <w:tr>
        <w:tc>
          <w:tcPr>
            <w:tcW w:type="dxa" w:w="9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6</w:t>
            </w:r>
          </w:p>
        </w:tc>
        <w:tc>
          <w:tcPr>
            <w:tcW w:type="dxa" w:w="5800"/>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Nettoyer les espaces de test avant toute démonstration commerciale.</w:t>
            </w:r>
          </w:p>
        </w:tc>
        <w:tc>
          <w:tcPr>
            <w:tcW w:type="dxa" w:w="8698"/>
            <w:tcBorders>
              <w:top w:val="single" w:color="CBD5E1" w:sz="2"/>
              <w:left w:val="single" w:color="CBD5E1" w:sz="2"/>
              <w:bottom w:val="single" w:color="CBD5E1" w:sz="2"/>
              <w:right w:val="single" w:color="CBD5E1" w:sz="2"/>
            </w:tcBorders>
            <w:tcMar>
              <w:top w:type="dxa" w:w="80"/>
              <w:left w:type="dxa" w:w="110"/>
              <w:bottom w:type="dxa" w:w="80"/>
              <w:right w:type="dxa" w:w="110"/>
            </w:tcMar>
            <w:vAlign w:val="top"/>
          </w:tcPr>
          <w:p>
            <w:pPr>
              <w:spacing w:after="30" w:before="30"/>
            </w:pPr>
            <w:r>
              <w:rPr>
                <w:rFonts w:ascii="Calibri" w:cs="Calibri" w:eastAsia="Calibri" w:hAnsi="Calibri"/>
                <w:b w:val="false"/>
                <w:bCs w:val="false"/>
                <w:i w:val="false"/>
                <w:iCs w:val="false"/>
                <w:color w:val="334155"/>
                <w:sz w:val="18"/>
                <w:szCs w:val="18"/>
              </w:rPr>
              <w:t xml:space="preserve">EiffaBTP (fixture) et [TEST QA Claude] BTP Vérif SARL sont encore présents dans la base réelle.</w:t>
            </w:r>
          </w:p>
        </w:tc>
      </w:tr>
    </w:tbl>
    <w:p>
      <w:pPr>
        <w:pStyle w:val="Heading2"/>
        <w:spacing w:after="140" w:before="320"/>
      </w:pPr>
      <w:r>
        <w:rPr>
          <w:rFonts w:ascii="Calibri" w:cs="Calibri" w:eastAsia="Calibri" w:hAnsi="Calibri"/>
          <w:b/>
          <w:bCs/>
          <w:i w:val="false"/>
          <w:iCs w:val="false"/>
          <w:color w:val="0F172A"/>
          <w:sz w:val="28"/>
          <w:szCs w:val="28"/>
        </w:rPr>
        <w:t xml:space="preserve">7. Tests et qualité</w:t>
      </w:r>
    </w:p>
    <w:p>
      <w:pPr>
        <w:spacing w:after="160"/>
      </w:pPr>
      <w:r>
        <w:rPr>
          <w:rFonts w:ascii="Calibri" w:cs="Calibri" w:eastAsia="Calibri" w:hAnsi="Calibri"/>
          <w:b w:val="false"/>
          <w:bCs w:val="false"/>
          <w:i w:val="false"/>
          <w:iCs w:val="false"/>
          <w:color w:val="334155"/>
          <w:sz w:val="20"/>
          <w:szCs w:val="20"/>
        </w:rPr>
        <w:t xml:space="preserve">47 fichiers de tests automatisés côté backend (pytest), avec une couverture ciblée sur les points sensibles : isolation multi-tenant, RAG, Go/No-Go, export régional Moyen-Orient, SharePoint, OCR, détecteur de spécificité. Vérification de types stricte sur l'ensemble du frontend (tsc --noEmit, 0 erreur). Playwright disponible pour les tests de bout en bout. 164 routes API au total, pour environ 56 000 lignes de code (29 900 côté backend, 26 200 côté frontend).</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2026-09-15T10:37:42.332Z</dcterms:created>
  <dcterms:modified xsi:type="dcterms:W3CDTF">2026-09-15T10:37:42.332Z</dcterms:modified>
</cp:coreProperties>
</file>

<file path=docProps/custom.xml><?xml version="1.0" encoding="utf-8"?>
<Properties xmlns="http://schemas.openxmlformats.org/officeDocument/2006/custom-properties" xmlns:vt="http://schemas.openxmlformats.org/officeDocument/2006/docPropsVTypes"/>
</file>