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60"/>
          <w:szCs w:val="60"/>
        </w:rPr>
        <w:t xml:space="preserve">btpAO</w:t>
      </w:r>
    </w:p>
    <w:p>
      <w:pPr>
        <w:pBdr>
          <w:bottom w:val="single" w:color="B45309" w:sz="8" w:space="10"/>
        </w:pBd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26"/>
          <w:szCs w:val="26"/>
        </w:rPr>
        <w:t xml:space="preserve">Spécification fonctionnelle — document de référence commerciale</w:t>
      </w:r>
    </w:p>
    <w:p>
      <w:pPr>
        <w:spacing w:after="24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15 septembre 2026 — Document confidentiel, à usage commercial et interne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btpAO est une plateforme qui automatise la réponse aux appels d'offres du BTP : de la lecture du dossier de consultation jusqu'à l'export du mémoire technique final, en français, en anglais ou en arabe.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Ce document ne recense que des fonctions vérifiées dans le code et testées en conditions réelles — pas une liste d'intentions ni une feuille de route. Chaque ligne a été confirmée soit par lecture directe du code, soit par un test réel sur un dossier d'appel d'offres, souvent les deux.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8"/>
          <w:szCs w:val="28"/>
        </w:rPr>
        <w:t xml:space="preserve">Fonctionnalités vérifiées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400"/>
        <w:gridCol w:w="4598"/>
      </w:tblGrid>
      <w:tr>
        <w:trPr>
          <w:tblHeader/>
        </w:trPr>
        <w:tc>
          <w:tcPr>
            <w:tcW w:type="dxa" w:w="34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Fonctionnalité</w:t>
            </w:r>
          </w:p>
        </w:tc>
        <w:tc>
          <w:tcPr>
            <w:tcW w:type="dxa" w:w="7400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 que ça vous apporte</w:t>
            </w:r>
          </w:p>
        </w:tc>
        <w:tc>
          <w:tcPr>
            <w:tcW w:type="dxa" w:w="4598"/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Preuve / statut</w:t>
            </w:r>
          </w:p>
        </w:tc>
      </w:tr>
      <w:tr>
        <w:tc>
          <w:tcPr>
            <w:tcW w:type="dxa" w:w="15398"/>
            <w:gridSpan w:val="3"/>
            <w:tcBorders>
              <w:top w:val="single" w:color="FDE9D0" w:sz="2"/>
              <w:left w:val="single" w:color="FDE9D0" w:sz="2"/>
              <w:bottom w:val="single" w:color="FDE9D0" w:sz="2"/>
              <w:right w:val="single" w:color="FDE9D0" w:sz="2"/>
            </w:tcBorders>
            <w:shd w:fill="FDE9D0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1. Analyse du dossier de consultation (DCE)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Lecture automatique des pièces déposées (PDF, Word)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Vous déposez votre dossier de consultation, l'outil le lit et l'exploite automatiquement — même sur les très gros dossiers de plusieurs centaines de pages.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Testé en conditions réelles sur un dossier de 304 pages : lu et exploité en entier en moins d'une minute, sans erreur.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Extraction automatique des critères de notation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Les critères de notation et leur pondération, tels qu'ils figurent dans le règlement de consultation, sont extraits automatiquement — plus besoin de les ressaisir à la main.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Vérifié sur un dossier réel : grille exacte retrouvée (30/20/10/40) après correction d'un bug de lecture ; un repli générique est signalé explicitement quand il est utilisé.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Détection automatique du pays et de la réglementation du marché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L'outil détermine le pays réel du marché (pas celui de votre entreprise) et adapte automatiquement les normes citées — en expliquant toujours les indices utilisés, jamais une supposition silencieuse.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Vérifié sur un dossier réel (France) et un dossier de test (Qatar) : détection correcte, indices affichés, jamais de bascule automatique si la confiance est faible.</w:t>
            </w:r>
          </w:p>
        </w:tc>
      </w:tr>
      <w:tr>
        <w:tc>
          <w:tcPr>
            <w:tcW w:type="dxa" w:w="15398"/>
            <w:gridSpan w:val="3"/>
            <w:tcBorders>
              <w:top w:val="single" w:color="FDE9D0" w:sz="2"/>
              <w:left w:val="single" w:color="FDE9D0" w:sz="2"/>
              <w:bottom w:val="single" w:color="FDE9D0" w:sz="2"/>
              <w:right w:val="single" w:color="FDE9D0" w:sz="2"/>
            </w:tcBorders>
            <w:shd w:fill="FDE9D0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2. Rédaction du mémoire technique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Rédaction assistée par IA des chapitres du mémoire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Génère les chapitres du mémoire (présentation, références, moyens humains et matériels, méthodologie, qualité, sécurité, RSE, sous-traitance...) à partir de votre savoir-faire réel et des pièces du marché.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Revérifié section par section sur un dossier réel : 9 chapitres complets, contenu détaillé et sourcé, plus aucune donnée fictive ni score inventé.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Garde-fous anti-invention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Chaque affirmation du mémoire s'appuie sur une pièce réelle ; un manque d'information est signalé clairement dans le texte plutôt que d'être inventé.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Vérifié : les scores inventés, canevas de secours maquillés en sections terminées et mentions « None » trouvés lors de l'audit ont tous été corrigés et revérifiés.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Détecteur de généricité (spécificité)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Vérifie mécaniquement que chaque paragraphe rédigé cite bien des éléments réels de VOTRE dossier (acheteur, lieu, chiffres...) plutôt qu'un texte passe-partout que n'importe quel concurrent pourrait déposer.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Testé et validé aussi bien en français qu'en arabe : un paragraphe ancré dans le projet obtient un score élevé, un texte générique obtient 0, dans les deux langues.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Vos données déclarées ne sont jamais réécrites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Une expérience, un pourcentage ou une date que vous avez saisis dans l'outil ne sont jamais modifiés par l'IA ; tout écart proposé par le modèle vous est signalé, jamais appliqué en silence.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Un écart réel avait été détecté puis corrigé sur des dossiers en base (ex. une expérience gonflée de 7 à 11 ans) ; couvert par 50 tests automatisés depuis.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Traduction du mémoire déjà rédigé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Traduit un mémoire existant en anglais ou en arabe (avec mise en page arabe de droite à gauche), section par section, sans perdre la mise en forme.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Testé en conditions réelles : 5 sections traduites vers l'arabe, export Word arabe complet vérifié (sens de lecture correct).</w:t>
            </w:r>
          </w:p>
        </w:tc>
      </w:tr>
      <w:tr>
        <w:tc>
          <w:tcPr>
            <w:tcW w:type="dxa" w:w="15398"/>
            <w:gridSpan w:val="3"/>
            <w:tcBorders>
              <w:top w:val="single" w:color="FDE9D0" w:sz="2"/>
              <w:left w:val="single" w:color="FDE9D0" w:sz="2"/>
              <w:bottom w:val="single" w:color="FDE9D0" w:sz="2"/>
              <w:right w:val="single" w:color="FDE9D0" w:sz="2"/>
            </w:tcBorders>
            <w:shd w:fill="FDE9D0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3. Aide à la décision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Analyse Go/No-Go sur des critères réels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Calcule une recommandation à partir de critères réels (délais contractuels, qualifications valides, charge de travail actuelle, historique de réussite) — jamais un score flatteur sans données réelles derrière.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Règle vérifiée dans le code et en base : un score ne peut plus afficher « GO confirmé » si moins de 75 % des facteurs reposent sur une donnée réelle.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Carte de transparence « Ce que l'application a fait à votre place »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Affiche clairement tout ce que l'outil a déduit, supposé ou complété automatiquement à votre place, et pourquoi — pour que vous gardiez toujours la main.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Vérifié en français, anglais et arabe, sur l'accueil du dossier et sur la page d'export.</w:t>
            </w:r>
          </w:p>
        </w:tc>
      </w:tr>
      <w:tr>
        <w:tc>
          <w:tcPr>
            <w:tcW w:type="dxa" w:w="15398"/>
            <w:gridSpan w:val="3"/>
            <w:tcBorders>
              <w:top w:val="single" w:color="FDE9D0" w:sz="2"/>
              <w:left w:val="single" w:color="FDE9D0" w:sz="2"/>
              <w:bottom w:val="single" w:color="FDE9D0" w:sz="2"/>
              <w:right w:val="single" w:color="FDE9D0" w:sz="2"/>
            </w:tcBorders>
            <w:shd w:fill="FDE9D0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4. Visuels du dossier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Planning Gantt automatique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Génère un planning détaillé (phases, tâches, sous-tâches, jalons, chemin critique) en haute définition, personnalisable à l'écran comme à l'export, aux couleurs de votre charte.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Testé et affiné en conditions réelles : hiérarchie phases/tâches/sous-tâches, jalons affichés comme de vraies dates repères, personnalisation vérifiée (filtre, hauteur des barres, couleurs).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Organigramme de chantier automatique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Génère l'organigramme d'encadrement avec les vrais noms et rôles que vous avez déclarés — jamais un nom inventé — aux couleurs de votre charte graphique.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Vérifié en conditions réelles avec une équipe réelle (noms et rôles exacts retrouvés dans le document généré).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Export Word et PDF fidèles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Produit un fichier Word (.docx) et PDF reprenant votre propre mise en page (en-tête, couleurs, styles), avec les visuels correctement intégrés.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Téléchargements vérifiés sur fichiers réels (Word 621 Ko, PDF 731 Ko) ; le bug qui faisait disparaître Gantt et organigramme des exports a été corrigé et revérifié.</w:t>
            </w:r>
          </w:p>
        </w:tc>
      </w:tr>
      <w:tr>
        <w:tc>
          <w:tcPr>
            <w:tcW w:type="dxa" w:w="15398"/>
            <w:gridSpan w:val="3"/>
            <w:tcBorders>
              <w:top w:val="single" w:color="FDE9D0" w:sz="2"/>
              <w:left w:val="single" w:color="FDE9D0" w:sz="2"/>
              <w:bottom w:val="single" w:color="FDE9D0" w:sz="2"/>
              <w:right w:val="single" w:color="FDE9D0" w:sz="2"/>
            </w:tcBorders>
            <w:shd w:fill="FDE9D0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5. Pièces administratives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Formulaires administratifs pré-remplis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Génère automatiquement les formulaires DC1, DC2 et DUME, ainsi que les équivalents pour l'Arabie Saoudite, le Qatar, les Émirats Arabes Unis et le Liban, prêts à télécharger.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Vérifié sur un dossier réel : 14 pièces produites, dont 10 directement extraites du règlement de consultation.</w:t>
            </w:r>
          </w:p>
        </w:tc>
      </w:tr>
      <w:tr>
        <w:tc>
          <w:tcPr>
            <w:tcW w:type="dxa" w:w="15398"/>
            <w:gridSpan w:val="3"/>
            <w:tcBorders>
              <w:top w:val="single" w:color="FDE9D0" w:sz="2"/>
              <w:left w:val="single" w:color="FDE9D0" w:sz="2"/>
              <w:bottom w:val="single" w:color="FDE9D0" w:sz="2"/>
              <w:right w:val="single" w:color="FDE9D0" w:sz="2"/>
            </w:tcBorders>
            <w:shd w:fill="FDE9D0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6. Couverture internationale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Interface et documents en français, anglais et arabe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L'outil et les documents produits sont disponibles dans les 3 langues, y compris la mise en page arabe de droite à gauche, sur l'ensemble du parcours.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Vérifié sur l'ensemble des écrans (tableau de bord, pièces du marché, données chantier, export...) et sur les exports Word en arabe.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Réglementation couverte dans 11 pays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France, Belgique, Pays-Bas, Allemagne, Espagne, Italie, Luxembourg, Qatar, Arabie Saoudite, Émirats Arabes Unis et Liban : normes techniques, environnement, marché public, déchets, sécurité et qualifications reconnues.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Vérifié directement en base de données ce jour (15/09) : les 11 pays ont bien leurs 5 champs réglementaires de fond renseignés.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Veille réglementaire automatique quotidienne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Surveille chaque jour plus de 60 sources officielles gouvernementales et détecte les changements réels — jamais une simple confirmation de façade.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Vérifié en conditions réelles : dernier passage confirmé à l'heure planifiée, 61/61 sources vérifiées dans les 7 derniers jours.</w:t>
            </w:r>
          </w:p>
        </w:tc>
      </w:tr>
      <w:tr>
        <w:tc>
          <w:tcPr>
            <w:tcW w:type="dxa" w:w="15398"/>
            <w:gridSpan w:val="3"/>
            <w:tcBorders>
              <w:top w:val="single" w:color="FDE9D0" w:sz="2"/>
              <w:left w:val="single" w:color="FDE9D0" w:sz="2"/>
              <w:bottom w:val="single" w:color="FDE9D0" w:sz="2"/>
              <w:right w:val="single" w:color="FDE9D0" w:sz="2"/>
            </w:tcBorders>
            <w:shd w:fill="FDE9D0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7. Votre entreprise, votre mémoire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Base de connaissances centralisée par entreprise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Regroupe votre savoir-faire, vos certifications, CV et anciens mémoires. Cette matière est réutilisée en priorité sur toute recherche externe dès qu'elle existe.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En service ; la priorité donnée à vos propres réponses passées avant toute recherche externe est vérifiée dans le code.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Apprentissage automatique à partir de vos retours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Après un dossier gagné ou perdu, l'outil peut extraire automatiquement des enseignements réutilisables dans les dossiers suivants — visibles et modifiables par vous à tout moment.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Mécanisme vérifié dans le code : il s'active dès qu'un retour acheteur (points forts/points faibles) est enregistré sur un dossier clôturé.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Connecteur SharePoint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Vos documents déjà stockés sur SharePoint peuvent alimenter directement la base de connaissances de l'entreprise, avec synchronisation automatique des seuls fichiers nouveaux ou modifiés.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Écran de connexion et mécanique de synchronisation vérifiés (y compris en navigateur réel) ; filtrage, déduplication et suivi de synchronisation testés.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Gestion de votre équipe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Gérez les membres de votre équipe et leurs droits d'accès à la plateforme.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En service.</w:t>
            </w:r>
          </w:p>
        </w:tc>
      </w:tr>
      <w:tr>
        <w:tc>
          <w:tcPr>
            <w:tcW w:type="dxa" w:w="15398"/>
            <w:gridSpan w:val="3"/>
            <w:tcBorders>
              <w:top w:val="single" w:color="FDE9D0" w:sz="2"/>
              <w:left w:val="single" w:color="FDE9D0" w:sz="2"/>
              <w:bottom w:val="single" w:color="FDE9D0" w:sz="2"/>
              <w:right w:val="single" w:color="FDE9D0" w:sz="2"/>
            </w:tcBorders>
            <w:shd w:fill="FDE9D0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8. Sécurité et maîtrise des coûts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Cloisonnement strict entre entreprises clientes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Chaque client travaille dans un espace totalement isolé de tous les autres, sans aucun accès croisé possible — vérifié techniquement, pas seulement annoncé.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Un défaut critique d'isolation trouvé en audit a été corrigé et revérifié en conditions réelles ; la consultation d'un espace client par un administrateur est désormais explicite et jamais silencieuse.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Conformité RGPD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Purge automatique des données selon les délais légaux, sans action manuelle de votre part.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En service (tâche automatique quotidienne).</w:t>
            </w:r>
          </w:p>
        </w:tc>
      </w:tr>
      <w:tr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Plafonds de dépense IA maîtrisés</w:t>
            </w:r>
          </w:p>
        </w:tc>
        <w:tc>
          <w:tcPr>
            <w:tcW w:type="dxa" w:w="7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Des plafonds de coût transparents et paramétrables (par fournisseur, par forfait, par client) évitent toute facture surprise ; en cas de dépassement, un message clair est affiché plutôt qu'une erreur technique.</w:t>
            </w:r>
          </w:p>
        </w:tc>
        <w:tc>
          <w:tcPr>
            <w:tcW w:type="dxa" w:w="4598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0FD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En service, valeurs vérifiées directement en base de données ce jour (3 forfaits actifs avec leurs plafonds réels).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8"/>
          <w:szCs w:val="28"/>
        </w:rPr>
        <w:t xml:space="preserve">Ce qui n'est pas encore inclus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Trois points sont volontairement laissés en dehors du tableau ci-dessus, le temps d'être finalisés : l'encaissement automatique par carte bancaire (les plafonds et quotas sont déjà suivis avec précision, mais le prélèvement réel n'est pas encore branché) ; la connexion effective à un compte SharePoint réel (l'écran et la synchronisation sont prêts, la dernière étape se fait avec le service informatique du client concerné) ; et l'hébergement en ligne permanent (la plateforme est aujourd'hui validée en conditions réelles, sa mise à disposition en continu et indépendante d'un poste de travail est en cours de finalisation).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2026-09-15T10:37:42.268Z</dcterms:created>
  <dcterms:modified xsi:type="dcterms:W3CDTF">2026-09-15T10:37:42.285Z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