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des matières</w:t>
      </w:r>
    </w:p>
    <w:p>
      <w:r>
        <w:t>Introduction ........ 3</w:t>
      </w:r>
    </w:p>
    <w:p>
      <w:r>
        <w:t>Bibliographie ........ 54</w:t>
      </w:r>
    </w:p>
    <w:p>
      <w:pPr>
        <w:pStyle w:val="Heading1"/>
      </w:pPr>
      <w:r>
        <w:t>Introduction</w:t>
      </w:r>
    </w:p>
    <w:p>
      <w:r>
        <w:t>Comme l’écrit S. Amin (1996, p. 12), la mondialisation est un défi pour l’Afrique. Selon (S. B. Diagne, 2003, p. 147), la rencontre est féconde. D’autres travaux (Ostrom et al., 1992) le confirment. M. Ascher (1998, p. 223) propose d’élargir l’histoire des mathématiques. Voir aussi (Koné, 2020).</w:t>
      </w:r>
    </w:p>
    <w:p>
      <w:pPr>
        <w:pStyle w:val="Heading1"/>
      </w:pPr>
      <w:r>
        <w:t>Bibliographie</w:t>
      </w:r>
    </w:p>
    <w:p>
      <w:r>
        <w:rPr>
          <w:i w:val="0"/>
        </w:rPr>
        <w:t xml:space="preserve">AMIN Samir, 1996, </w:t>
      </w:r>
      <w:r>
        <w:rPr>
          <w:i/>
        </w:rPr>
        <w:t>Les Défis de la mondialisation</w:t>
      </w:r>
      <w:r>
        <w:rPr>
          <w:i w:val="0"/>
        </w:rPr>
        <w:t>, Paris, L’Harmattan.</w:t>
      </w:r>
    </w:p>
    <w:p>
      <w:r>
        <w:rPr>
          <w:i w:val="0"/>
        </w:rPr>
        <w:t xml:space="preserve">BERGER Gaston, 1967, </w:t>
      </w:r>
      <w:r>
        <w:rPr>
          <w:i/>
        </w:rPr>
        <w:t>L’Homme moderne et son éducation</w:t>
      </w:r>
      <w:r>
        <w:rPr>
          <w:i w:val="0"/>
        </w:rPr>
        <w:t>, Paris, PUF.</w:t>
      </w:r>
    </w:p>
    <w:p>
      <w:r>
        <w:rPr>
          <w:i w:val="0"/>
        </w:rPr>
        <w:t xml:space="preserve">DIAGNE Souleymane Bachir, 2003, « Islam et philosophie. Leçons d’une rencontre », </w:t>
      </w:r>
      <w:r>
        <w:rPr>
          <w:i/>
        </w:rPr>
        <w:t>Diogène</w:t>
      </w:r>
      <w:r>
        <w:rPr>
          <w:i w:val="0"/>
        </w:rPr>
        <w:t>, n° 202, p. 145-151.</w:t>
      </w:r>
    </w:p>
    <w:p>
      <w:r>
        <w:rPr>
          <w:i w:val="0"/>
        </w:rPr>
        <w:t xml:space="preserve">KONÉ Aminata, 2021, </w:t>
      </w:r>
      <w:r>
        <w:rPr>
          <w:i/>
        </w:rPr>
        <w:t>Discours médiatique en Côte d’Ivoire</w:t>
      </w:r>
      <w:r>
        <w:rPr>
          <w:i w:val="0"/>
        </w:rPr>
        <w:t>, Thèse de doctorat, Abidjan, Université Félix Houphouët-Boigny.</w:t>
      </w:r>
    </w:p>
    <w:p>
      <w:r>
        <w:rPr>
          <w:i w:val="0"/>
        </w:rPr>
        <w:t xml:space="preserve">Ostrom, E., Walker, J., &amp; Gardner, R. (1992). Covenants with and without a sword. </w:t>
      </w:r>
      <w:r>
        <w:rPr>
          <w:i/>
        </w:rPr>
        <w:t>American Political Science Review</w:t>
      </w:r>
      <w:r>
        <w:rPr>
          <w:i w:val="0"/>
        </w:rPr>
        <w:t>, 86(2), 404–417.</w:t>
      </w:r>
    </w:p>
    <w:p>
      <w:pPr>
        <w:pStyle w:val="Heading1"/>
      </w:pPr>
      <w:r>
        <w:t>Annexes</w:t>
      </w:r>
    </w:p>
    <w:p>
      <w:r>
        <w:t>Annexe 1 : guide d’entretien,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