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实验设置和结果</w:t>
      </w:r>
    </w:p>
    <w:p>
      <w:pPr>
        <w:pStyle w:val="1"/>
        <w:spacing w:before="380" w:after="140" w:line="288" w:lineRule="auto"/>
        <w:ind w:left="0"/>
        <w:jc w:val="left"/>
        <w:outlineLvl w:val="0"/>
      </w:pPr>
      <w:bookmarkStart w:name="heading_0" w:id="0"/>
      <w:r>
        <w:rPr>
          <w:rFonts w:eastAsia="等线" w:ascii="Arial" w:cs="Arial" w:hAnsi="Arial"/>
          <w:b w:val="true"/>
          <w:sz w:val="36"/>
        </w:rPr>
        <w:t>待办：</w:t>
      </w:r>
      <w:bookmarkEnd w:id="0"/>
    </w:p>
    <w:p>
      <w:pPr>
        <w:numPr>
          <w:numId w:val="1"/>
        </w:numPr>
        <w:spacing w:before="120" w:after="120" w:line="288" w:lineRule="auto"/>
        <w:ind w:left="0"/>
        <w:jc w:val="left"/>
      </w:pPr>
      <w:r>
        <w:rPr>
          <w:rFonts w:eastAsia="等线" w:ascii="Arial" w:cs="Arial" w:hAnsi="Arial"/>
          <w:sz w:val="22"/>
        </w:rPr>
        <w:t>消融实验加强，加个表格</w:t>
      </w:r>
    </w:p>
    <w:p>
      <w:pPr>
        <w:numPr>
          <w:numId w:val="2"/>
        </w:numPr>
        <w:spacing w:before="120" w:after="120" w:line="288" w:lineRule="auto"/>
        <w:ind w:left="0"/>
        <w:jc w:val="left"/>
      </w:pPr>
      <w:r>
        <w:rPr>
          <w:rFonts w:eastAsia="等线" w:ascii="Arial" w:cs="Arial" w:hAnsi="Arial"/>
          <w:sz w:val="22"/>
        </w:rPr>
        <w:t>前面单个动作要不要和baseline对比呢？？</w:t>
      </w:r>
    </w:p>
    <w:p>
      <w:pPr>
        <w:numPr>
          <w:numId w:val="3"/>
        </w:numPr>
        <w:spacing w:before="120" w:after="120" w:line="288" w:lineRule="auto"/>
        <w:ind w:left="0"/>
        <w:jc w:val="left"/>
      </w:pPr>
      <w:r>
        <w:rPr>
          <w:rFonts w:eastAsia="等线" w:ascii="Arial" w:cs="Arial" w:hAnsi="Arial"/>
          <w:strike w:val="true"/>
          <w:color w:val="646a73"/>
          <w:sz w:val="22"/>
        </w:rPr>
        <w:t>文本部分：前面的图片figure2要改成直线！</w:t>
      </w:r>
    </w:p>
    <w:p>
      <w:pPr>
        <w:pStyle w:val="2"/>
        <w:spacing w:before="320" w:after="120" w:line="288" w:lineRule="auto"/>
        <w:ind w:left="0"/>
        <w:jc w:val="left"/>
        <w:outlineLvl w:val="1"/>
      </w:pPr>
      <w:bookmarkStart w:name="heading_1" w:id="1"/>
      <w:r>
        <w:rPr>
          <w:rFonts w:eastAsia="等线" w:ascii="Arial" w:cs="Arial" w:hAnsi="Arial"/>
          <w:b w:val="true"/>
          <w:sz w:val="32"/>
        </w:rPr>
        <w:t>实验1：单个动作识别准确率</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Table 1：单步外发动作识别</w:t>
      </w:r>
      <w:bookmarkEnd w:id="2"/>
    </w:p>
    <w:p>
      <w:pPr>
        <w:spacing w:before="120" w:after="120" w:line="288" w:lineRule="auto"/>
        <w:ind w:left="0"/>
        <w:jc w:val="left"/>
      </w:pPr>
      <w:r>
        <w:rPr>
          <w:rFonts w:eastAsia="等线" w:ascii="Arial" w:cs="Arial" w:hAnsi="Arial"/>
          <w:sz w:val="22"/>
        </w:rPr>
        <w:t>实验目的：测试 ScreenGuard 对桌面端和浏览器端单步外发动作的识别能力。</w:t>
      </w:r>
    </w:p>
    <w:p>
      <w:pPr>
        <w:numPr>
          <w:numId w:val="4"/>
        </w:numPr>
        <w:spacing w:before="120" w:after="120" w:line="288" w:lineRule="auto"/>
        <w:ind w:left="0"/>
        <w:jc w:val="left"/>
      </w:pPr>
      <w:r>
        <w:rPr>
          <w:rFonts w:eastAsia="等线" w:ascii="Arial" w:cs="Arial" w:hAnsi="Arial"/>
          <w:sz w:val="22"/>
        </w:rPr>
        <w:t>数据集：</w:t>
      </w:r>
      <w:r>
        <w:rPr>
          <w:rFonts w:eastAsia="等线" w:ascii="Arial" w:cs="Arial" w:hAnsi="Arial"/>
          <w:sz w:val="22"/>
          <w:shd w:fill="cdb2fa"/>
        </w:rPr>
        <w:t>stage1</w:t>
      </w:r>
      <w:r>
        <w:rPr>
          <w:rFonts w:eastAsia="等线" w:ascii="Arial" w:cs="Arial" w:hAnsi="Arial"/>
          <w:sz w:val="22"/>
        </w:rPr>
        <w:t>内直接外发样本，覆盖 8 类外发渠道。</w:t>
      </w:r>
    </w:p>
    <w:p>
      <w:pPr>
        <w:numPr>
          <w:numId w:val="5"/>
        </w:numPr>
        <w:spacing w:before="120" w:after="120" w:line="288" w:lineRule="auto"/>
        <w:ind w:left="0"/>
        <w:jc w:val="left"/>
      </w:pPr>
      <w:r>
        <w:rPr>
          <w:rFonts w:eastAsia="等线" w:ascii="Arial" w:cs="Arial" w:hAnsi="Arial"/>
          <w:sz w:val="22"/>
        </w:rPr>
        <w:t>实验设置：采用 few-shot Prompt，每类仅列举少量代表性应用，其余应用不进行逐一枚举。</w:t>
      </w:r>
    </w:p>
    <w:p>
      <w:pPr>
        <w:numPr>
          <w:numId w:val="6"/>
        </w:numPr>
        <w:spacing w:before="120" w:after="120" w:line="288" w:lineRule="auto"/>
        <w:ind w:left="0"/>
        <w:jc w:val="left"/>
      </w:pPr>
      <w:r>
        <w:rPr>
          <w:rFonts w:eastAsia="等线" w:ascii="Arial" w:cs="Arial" w:hAnsi="Arial"/>
          <w:sz w:val="22"/>
        </w:rPr>
        <w:t>指标：按 8 种外发类别统计</w:t>
      </w:r>
      <w:r>
        <w:rPr>
          <w:rFonts w:eastAsia="等线" w:ascii="Arial" w:cs="Arial" w:hAnsi="Arial"/>
          <w:sz w:val="22"/>
          <w:shd w:fill="cdb2fa"/>
        </w:rPr>
        <w:t xml:space="preserve"> Precision、Recall 和 F1</w:t>
      </w:r>
      <w:r>
        <w:rPr>
          <w:rFonts w:eastAsia="等线" w:ascii="Arial" w:cs="Arial" w:hAnsi="Arial"/>
          <w:sz w:val="22"/>
        </w:rPr>
        <w:t>；系统输出 No Detection 时，记为对应真实类别的 FN。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能够证明：ScreenGuard 在 8 类、样本上的单步外发动作识别表现。</w:t>
            </w:r>
          </w:p>
        </w:tc>
      </w:tr>
    </w:tbl>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5pt;mso-width-percent:0;mso-height-percent:0;mso-width-percent:0;mso-height-percent:0" type="#_x0000_t75" o:ole="">
            <v:imagedata r:id="rId6" o:title=""/>
          </v:shape>
          <o:OLEObject DrawAspect="Icon" ObjectID="_1718471219" ProgID="Excel.Sheet.12" ShapeID="_x0000_i1025" Type="Embed" r:id="rId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Table 2：隐藏操作识别</w:t>
      </w:r>
      <w:bookmarkEnd w:id="3"/>
    </w:p>
    <w:p>
      <w:pPr>
        <w:spacing w:before="120" w:after="120" w:line="288" w:lineRule="auto"/>
        <w:ind w:left="0"/>
        <w:jc w:val="left"/>
      </w:pPr>
      <w:r>
        <w:rPr>
          <w:rFonts w:eastAsia="等线" w:ascii="Arial" w:cs="Arial" w:hAnsi="Arial"/>
          <w:sz w:val="22"/>
        </w:rPr>
        <w:t>实验目的：测试 ScreenGuard 对转换、提取、屏幕采集和外设转移等操作的识别能力，以及能否识别操作产生的派生载体或目标位置。</w:t>
      </w:r>
    </w:p>
    <w:p>
      <w:pPr>
        <w:numPr>
          <w:numId w:val="7"/>
        </w:numPr>
        <w:spacing w:before="120" w:after="120" w:line="288" w:lineRule="auto"/>
        <w:ind w:left="0"/>
        <w:jc w:val="left"/>
      </w:pPr>
      <w:r>
        <w:rPr>
          <w:rFonts w:eastAsia="等线" w:ascii="Arial" w:cs="Arial" w:hAnsi="Arial"/>
          <w:sz w:val="22"/>
        </w:rPr>
        <w:t>数据集：</w:t>
      </w:r>
      <w:r>
        <w:rPr>
          <w:rFonts w:eastAsia="等线" w:ascii="Arial" w:cs="Arial" w:hAnsi="Arial"/>
          <w:sz w:val="22"/>
          <w:shd w:fill="cdb2fa"/>
        </w:rPr>
        <w:t>stage2内</w:t>
      </w:r>
      <w:r>
        <w:rPr>
          <w:rFonts w:eastAsia="等线" w:ascii="Arial" w:cs="Arial" w:hAnsi="Arial"/>
          <w:sz w:val="22"/>
        </w:rPr>
        <w:t>，覆盖 5 类操作族及其下属细粒度操作。</w:t>
      </w:r>
    </w:p>
    <w:p>
      <w:pPr>
        <w:numPr>
          <w:numId w:val="8"/>
        </w:numPr>
        <w:spacing w:before="120" w:after="120" w:line="288" w:lineRule="auto"/>
        <w:ind w:left="0"/>
        <w:jc w:val="left"/>
      </w:pPr>
      <w:r>
        <w:rPr>
          <w:rFonts w:eastAsia="等线" w:ascii="Arial" w:cs="Arial" w:hAnsi="Arial"/>
          <w:sz w:val="22"/>
        </w:rPr>
        <w:t>指标：</w:t>
      </w:r>
      <w:r>
        <w:rPr>
          <w:rFonts w:eastAsia="等线" w:ascii="Arial" w:cs="Arial" w:hAnsi="Arial"/>
          <w:sz w:val="22"/>
          <w:shd w:fill="cdb2fa"/>
        </w:rPr>
        <w:t>操作识别成功率，以及派生载体 / 目标识别准确率。</w:t>
      </w:r>
    </w:p>
    <w:p>
      <w:pPr>
        <w:numPr>
          <w:numId w:val="9"/>
        </w:numPr>
        <w:spacing w:before="120" w:after="120" w:line="288" w:lineRule="auto"/>
        <w:ind w:left="0"/>
        <w:jc w:val="left"/>
      </w:pPr>
      <w:r>
        <w:rPr>
          <w:rFonts w:eastAsia="等线" w:ascii="Arial" w:cs="Arial" w:hAnsi="Arial"/>
          <w:sz w:val="22"/>
        </w:rPr>
        <w:t>统计方式：按 5 个一级操作族汇总，但成功判定依据具体二级操作是否识别正确。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能够证明：ScreenGuard 能否识别泄露链中的非直接外发操作，并恢复敏感内容经操作后形成的派生载体或目标。</w:t>
            </w:r>
          </w:p>
        </w:tc>
      </w:tr>
    </w:tbl>
    <w:p>
      <w:pPr>
        <w:spacing w:before="120" w:after="120" w:line="288" w:lineRule="auto"/>
        <w:ind w:left="0"/>
      </w:pPr>
      <w:r>
        <w:object>
          <v:shape id="_x0000_i1026" style="width:414pt;height:128pt;mso-width-percent:0;mso-height-percent:0;mso-width-percent:0;mso-height-percent:0" type="#_x0000_t75" o:ole="">
            <v:imagedata r:id="rId8" o:title=""/>
          </v:shape>
          <o:OLEObject DrawAspect="Icon" ObjectID="_1718471220" ProgID="Excel.Sheet.12" ShapeID="_x0000_i1026" Type="Embed" r:id="rId7"/>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 w:id="4"/>
      <w:r>
        <w:rPr>
          <w:rFonts w:eastAsia="等线" w:ascii="Arial" w:cs="Arial" w:hAnsi="Arial"/>
          <w:b w:val="true"/>
          <w:sz w:val="32"/>
        </w:rPr>
        <w:t>实验2：泄露判定和路径还原能力</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Table 3：整体案例级泄露检测</w:t>
      </w:r>
      <w:bookmarkEnd w:id="5"/>
    </w:p>
    <w:p>
      <w:pPr>
        <w:spacing w:before="120" w:after="120" w:line="288" w:lineRule="auto"/>
        <w:ind w:left="0"/>
        <w:jc w:val="left"/>
      </w:pPr>
      <w:r>
        <w:rPr>
          <w:rFonts w:eastAsia="等线" w:ascii="Arial" w:cs="Arial" w:hAnsi="Arial"/>
          <w:sz w:val="22"/>
        </w:rPr>
        <w:t>table3：测试 ScreenGuard 对正常办公样本和泄露样本的整体区分能力，并与其他 baseline 对比。</w:t>
      </w:r>
    </w:p>
    <w:p>
      <w:pPr>
        <w:numPr>
          <w:numId w:val="10"/>
        </w:numPr>
        <w:spacing w:before="120" w:after="120" w:line="288" w:lineRule="auto"/>
        <w:ind w:left="0"/>
        <w:jc w:val="left"/>
      </w:pPr>
      <w:r>
        <w:rPr>
          <w:rFonts w:eastAsia="等线" w:ascii="Arial" w:cs="Arial" w:hAnsi="Arial"/>
          <w:sz w:val="22"/>
        </w:rPr>
        <w:t>可计算指标：TP、FP、FN、TN、Precision、Recall、F1、FPR。</w:t>
      </w:r>
    </w:p>
    <w:p>
      <w:pPr>
        <w:numPr>
          <w:numId w:val="11"/>
        </w:numPr>
        <w:spacing w:before="120" w:after="120" w:line="288" w:lineRule="auto"/>
        <w:ind w:left="0"/>
        <w:jc w:val="left"/>
      </w:pPr>
      <w:r>
        <w:rPr>
          <w:rFonts w:eastAsia="等线" w:ascii="Arial" w:cs="Arial" w:hAnsi="Arial"/>
          <w:sz w:val="22"/>
        </w:rPr>
        <w:t>其中正常样本用于统计 FP、TN 和 FPR，泄露样本用于统计 TP、FN 和 Recall，整体结果再计算 Precision 和 F1。</w:t>
      </w:r>
    </w:p>
    <w:p>
      <w:pPr>
        <w:numPr>
          <w:numId w:val="12"/>
        </w:numPr>
        <w:spacing w:before="120" w:after="120" w:line="288" w:lineRule="auto"/>
        <w:ind w:left="0"/>
        <w:jc w:val="left"/>
      </w:pPr>
      <w:r>
        <w:rPr>
          <w:rFonts w:eastAsia="等线" w:ascii="Arial" w:cs="Arial" w:hAnsi="Arial"/>
          <w:sz w:val="22"/>
        </w:rPr>
        <w:t>数据集样本：正常应用样本 vs 应用直接上传样本+完整外发案例30个+未知案例15个。（40 vs  225）</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这个表主要证明：ScreenGuard 在混合测试集中是否能够整体识别数据外泄案例，同时控制正常办公场景下的误报。</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110"/>
        <w:gridCol w:w="178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method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prec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f1</w:t>
            </w:r>
          </w:p>
        </w:tc>
        <w:tc>
          <w:tcPr>
            <w:tcW w:w="17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fpr</w:t>
            </w: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DLP1</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DLP2</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gemini</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gpt</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qwen</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ours</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110" w:type="dxa"/>
            <w:tcMar>
              <w:top w:type="dxa" w:w="60"/>
              <w:left w:type="dxa" w:w="120"/>
              <w:bottom w:type="dxa" w:w="30"/>
              <w:right w:type="dxa" w:w="120"/>
            </w:tcMar>
          </w:tcPr>
          <w:p>
            <w:pPr>
              <w:spacing w:before="120" w:after="120" w:line="288" w:lineRule="auto"/>
              <w:ind w:left="0"/>
              <w:jc w:val="left"/>
            </w:pPr>
          </w:p>
        </w:tc>
        <w:tc>
          <w:tcPr>
            <w:tcW w:w="178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Table 4：多步外发链路还原</w:t>
      </w:r>
      <w:bookmarkEnd w:id="6"/>
    </w:p>
    <w:p>
      <w:pPr>
        <w:spacing w:before="120" w:after="120" w:line="288" w:lineRule="auto"/>
        <w:ind w:left="0"/>
        <w:jc w:val="left"/>
      </w:pPr>
      <w:r>
        <w:rPr>
          <w:rFonts w:eastAsia="等线" w:ascii="Arial" w:cs="Arial" w:hAnsi="Arial"/>
          <w:sz w:val="22"/>
        </w:rPr>
        <w:t>table4：测试 ScreenGuard 对多步外发案例的链路还原能力，</w:t>
      </w:r>
      <w:r>
        <w:rPr>
          <w:rFonts w:eastAsia="等线" w:ascii="Arial" w:cs="Arial" w:hAnsi="Arial"/>
          <w:sz w:val="22"/>
          <w:shd w:fill="cdb2fa"/>
        </w:rPr>
        <w:t>并与可输出链路的 baseline 对比。</w:t>
      </w:r>
    </w:p>
    <w:p>
      <w:pPr>
        <w:numPr>
          <w:numId w:val="13"/>
        </w:numPr>
        <w:spacing w:before="120" w:after="120" w:line="288" w:lineRule="auto"/>
        <w:ind w:left="0"/>
        <w:jc w:val="left"/>
      </w:pPr>
      <w:r>
        <w:rPr>
          <w:rFonts w:eastAsia="等线" w:ascii="Arial" w:cs="Arial" w:hAnsi="Arial"/>
          <w:sz w:val="22"/>
        </w:rPr>
        <w:t>可计算指标：Full Path Acc.、Step Rec. 、Sink Acc.。</w:t>
      </w:r>
    </w:p>
    <w:p>
      <w:pPr>
        <w:numPr>
          <w:numId w:val="14"/>
        </w:numPr>
        <w:spacing w:before="120" w:after="120" w:line="288" w:lineRule="auto"/>
        <w:ind w:left="0"/>
        <w:jc w:val="left"/>
      </w:pPr>
      <w:r>
        <w:rPr>
          <w:rFonts w:eastAsia="等线" w:ascii="Arial" w:cs="Arial" w:hAnsi="Arial"/>
          <w:sz w:val="22"/>
        </w:rPr>
        <w:t>其中 Full Path Acc. 表示完整泄露链是否全部还原正确；Step Rec. 表示真实泄露链中的关键步骤，有多少被系统正确还原；Sink Acc. 表示最终外发目的地是否识别正确。</w:t>
      </w:r>
    </w:p>
    <w:p>
      <w:pPr>
        <w:numPr>
          <w:numId w:val="15"/>
        </w:numPr>
        <w:spacing w:before="120" w:after="120" w:line="288" w:lineRule="auto"/>
        <w:ind w:left="0"/>
        <w:jc w:val="left"/>
      </w:pPr>
      <w:r>
        <w:rPr>
          <w:rFonts w:eastAsia="等线" w:ascii="Arial" w:cs="Arial" w:hAnsi="Arial"/>
          <w:sz w:val="22"/>
        </w:rPr>
        <w:t>数据集样本：完整外发案例30个，未知案例15个。</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ai: 统计方式建议使用 n/N (%)，因为样本规模较小，只写百分比会显得过于精确。</w:t>
            </w:r>
          </w:p>
          <w:p>
            <w:pPr>
              <w:spacing w:before="120" w:after="120" w:line="288" w:lineRule="auto"/>
              <w:ind w:left="0"/>
              <w:jc w:val="left"/>
            </w:pPr>
            <w:r>
              <w:rPr>
                <w:rFonts w:eastAsia="等线" w:ascii="Arial" w:cs="Arial" w:hAnsi="Arial"/>
                <w:color w:val="646a73"/>
                <w:sz w:val="22"/>
              </w:rPr>
              <w:t>这个表主要证明：ScreenGuard 不只是能判断案例是否泄露，还能否还原敏感数据从原始文件到中间载体再到最终外发目的地的传播过程。</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method</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set</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Path Acc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Step Rec.</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Sink Acc.</w:t>
            </w: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Claude</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known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unseen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gpt</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known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unseen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qwen</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known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unseen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ours</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known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r>
        <w:tc>
          <w:tcPr>
            <w:tcW w:w="1500" w:type="dxa"/>
            <w:vMerge w:val="continue"/>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unseen</w:t>
            </w: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c>
          <w:tcPr>
            <w:tcW w:w="1500" w:type="dxa"/>
            <w:tcMar>
              <w:top w:type="dxa" w:w="60"/>
              <w:left w:type="dxa" w:w="120"/>
              <w:bottom w:type="dxa" w:w="30"/>
              <w:right w:type="dxa" w:w="120"/>
            </w:tcMar>
          </w:tcPr>
          <w:p>
            <w:pPr>
              <w:spacing w:before="120" w:after="120" w:line="288" w:lineRule="auto"/>
              <w:ind w:left="0"/>
              <w:jc w:val="center"/>
            </w:pPr>
          </w:p>
        </w:tc>
      </w:tr>
    </w:tbl>
    <w:p>
      <w:pPr>
        <w:pStyle w:val="2"/>
        <w:spacing w:before="320" w:after="120" w:line="288" w:lineRule="auto"/>
        <w:ind w:left="0"/>
        <w:jc w:val="left"/>
        <w:outlineLvl w:val="1"/>
      </w:pPr>
      <w:bookmarkStart w:name="heading_7" w:id="7"/>
      <w:r>
        <w:rPr>
          <w:rFonts w:eastAsia="等线" w:ascii="Arial" w:cs="Arial" w:hAnsi="Arial"/>
          <w:b w:val="true"/>
          <w:sz w:val="32"/>
        </w:rPr>
        <w:t>实验3，消融实验</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figure1 雷达图</w:t>
      </w:r>
      <w:bookmarkEnd w:id="8"/>
    </w:p>
    <w:p>
      <w:pPr>
        <w:numPr>
          <w:numId w:val="16"/>
        </w:numPr>
        <w:spacing w:before="120" w:after="120" w:line="288" w:lineRule="auto"/>
        <w:ind w:left="0"/>
        <w:jc w:val="left"/>
      </w:pPr>
      <w:r>
        <w:rPr>
          <w:rFonts w:eastAsia="等线" w:ascii="Arial" w:cs="Arial" w:hAnsi="Arial"/>
          <w:sz w:val="22"/>
        </w:rPr>
        <w:t>数据集：all样本</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20"/>
        <w:gridCol w:w="870"/>
        <w:gridCol w:w="600"/>
        <w:gridCol w:w="735"/>
        <w:gridCol w:w="645"/>
        <w:gridCol w:w="465"/>
        <w:gridCol w:w="915"/>
        <w:gridCol w:w="555"/>
        <w:gridCol w:w="930"/>
        <w:gridCol w:w="930"/>
        <w:gridCol w:w="930"/>
      </w:tblGrid>
      <w:tr>
        <w:tc>
          <w:tcPr>
            <w:tcW w:w="72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Radar dimension</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Metric source / definition</w:t>
            </w:r>
          </w:p>
        </w:tc>
        <w:tc>
          <w:tcPr>
            <w:tcW w:w="133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DLP baselines</w:t>
            </w:r>
          </w:p>
        </w:tc>
        <w:tc>
          <w:tcPr>
            <w:tcW w:w="735" w:type="dxa"/>
            <w:hMerge w:val="continue"/>
            <w:tcMar>
              <w:top w:type="dxa" w:w="60"/>
              <w:left w:type="dxa" w:w="120"/>
              <w:bottom w:type="dxa" w:w="30"/>
              <w:right w:type="dxa" w:w="120"/>
            </w:tcMar>
          </w:tcPr>
          <w:p>
            <w:pPr>
              <w:spacing w:before="120" w:after="120" w:line="288" w:lineRule="auto"/>
              <w:ind w:left="0"/>
              <w:jc w:val="left"/>
            </w:pPr>
          </w:p>
        </w:tc>
        <w:tc>
          <w:tcPr>
            <w:tcW w:w="202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VLM baselines</w:t>
            </w:r>
          </w:p>
        </w:tc>
        <w:tc>
          <w:tcPr>
            <w:tcW w:w="465" w:type="dxa"/>
            <w:hMerge w:val="continue"/>
            <w:tcMar>
              <w:top w:type="dxa" w:w="60"/>
              <w:left w:type="dxa" w:w="120"/>
              <w:bottom w:type="dxa" w:w="30"/>
              <w:right w:type="dxa" w:w="120"/>
            </w:tcMar>
          </w:tcPr>
          <w:p>
            <w:pPr>
              <w:spacing w:before="120" w:after="120" w:line="288" w:lineRule="auto"/>
              <w:ind w:left="0"/>
              <w:jc w:val="left"/>
            </w:pPr>
          </w:p>
        </w:tc>
        <w:tc>
          <w:tcPr>
            <w:tcW w:w="915" w:type="dxa"/>
            <w:hMerge w:val="continue"/>
            <w:tcMar>
              <w:top w:type="dxa" w:w="60"/>
              <w:left w:type="dxa" w:w="120"/>
              <w:bottom w:type="dxa" w:w="30"/>
              <w:right w:type="dxa" w:w="120"/>
            </w:tcMar>
          </w:tcPr>
          <w:p>
            <w:pPr>
              <w:spacing w:before="120" w:after="120" w:line="288" w:lineRule="auto"/>
              <w:ind w:left="0"/>
              <w:jc w:val="left"/>
            </w:pPr>
          </w:p>
        </w:tc>
        <w:tc>
          <w:tcPr>
            <w:tcW w:w="334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ScreenGuard / ablations</w:t>
            </w:r>
          </w:p>
        </w:tc>
        <w:tc>
          <w:tcPr>
            <w:tcW w:w="93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DLP-1</w:t>
            </w:r>
          </w:p>
          <w:p>
            <w:pPr>
              <w:spacing w:before="120" w:after="120" w:line="288" w:lineRule="auto"/>
              <w:ind w:left="0"/>
              <w:jc w:val="left"/>
            </w:pP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DLP-2</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Claude</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GPT</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Qwen3.7-Plus</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Full</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w/o GUI</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w/o FTBM</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shd w:fill="dee0e3"/>
              </w:rPr>
              <w:t>w/o DR</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Direct Exfiltration</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Table 1 overall Rec.</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Intermediate Ops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Table 2 Op. Acc.</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Known Multi-step</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Detection rate </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Benign Cases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1 - FPR </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r>
      <w:tr>
        <w:tc>
          <w:tcPr>
            <w:tcW w:w="7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Unseen Cases</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Detection rate</w:t>
            </w:r>
          </w:p>
        </w:tc>
        <w:tc>
          <w:tcPr>
            <w:tcW w:w="6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4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55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tc>
        <w:tc>
          <w:tcPr>
            <w:tcW w:w="930" w:type="dxa"/>
            <w:tcMar>
              <w:top w:type="dxa" w:w="60"/>
              <w:left w:type="dxa" w:w="120"/>
              <w:bottom w:type="dxa" w:w="30"/>
              <w:right w:type="dxa" w:w="120"/>
            </w:tcMar>
          </w:tcPr>
          <w:p>
            <w:pPr>
              <w:spacing w:before="120" w:after="120" w:line="288" w:lineRule="auto"/>
              <w:ind w:left="0"/>
              <w:jc w:val="center"/>
            </w:pPr>
          </w:p>
        </w:tc>
      </w:tr>
    </w:tbl>
    <w:p>
      <w:pPr>
        <w:pStyle w:val="3"/>
        <w:spacing w:before="300" w:after="120" w:line="288" w:lineRule="auto"/>
        <w:ind w:left="0"/>
        <w:jc w:val="left"/>
        <w:outlineLvl w:val="2"/>
      </w:pPr>
      <w:bookmarkStart w:name="heading_9" w:id="9"/>
      <w:r>
        <w:rPr>
          <w:rFonts w:eastAsia="等线" w:ascii="Arial" w:cs="Arial" w:hAnsi="Arial"/>
          <w:b w:val="true"/>
          <w:sz w:val="30"/>
        </w:rPr>
        <w:t>Table 5：组件消融实验</w:t>
      </w:r>
      <w:bookmarkEnd w:id="9"/>
    </w:p>
    <w:p>
      <w:pPr>
        <w:spacing w:before="120" w:after="120" w:line="288" w:lineRule="auto"/>
        <w:ind w:left="0"/>
        <w:jc w:val="left"/>
      </w:pPr>
      <w:r>
        <w:rPr>
          <w:rFonts w:eastAsia="等线" w:ascii="Arial" w:cs="Arial" w:hAnsi="Arial"/>
          <w:sz w:val="22"/>
        </w:rPr>
        <w:t>table5：测试 ScreenGuard 各核心模块对案例检测与多步链路还原能力的贡献。</w:t>
      </w:r>
    </w:p>
    <w:p>
      <w:pPr>
        <w:numPr>
          <w:numId w:val="17"/>
        </w:numPr>
        <w:spacing w:before="120" w:after="120" w:line="288" w:lineRule="auto"/>
        <w:ind w:left="0"/>
        <w:jc w:val="left"/>
      </w:pPr>
      <w:r>
        <w:rPr>
          <w:rFonts w:eastAsia="等线" w:ascii="Arial" w:cs="Arial" w:hAnsi="Arial"/>
          <w:sz w:val="22"/>
        </w:rPr>
        <w:t>可计算指标：Case F1、Step Rec.、Full Path Acc.。</w:t>
      </w:r>
    </w:p>
    <w:p>
      <w:pPr>
        <w:numPr>
          <w:numId w:val="18"/>
        </w:numPr>
        <w:spacing w:before="120" w:after="120" w:line="288" w:lineRule="auto"/>
        <w:ind w:left="0"/>
        <w:jc w:val="left"/>
      </w:pPr>
      <w:r>
        <w:rPr>
          <w:rFonts w:eastAsia="等线" w:ascii="Arial" w:cs="Arial" w:hAnsi="Arial"/>
          <w:sz w:val="22"/>
        </w:rPr>
        <w:t>其中 Case F1 表示系统对泄露与正常案例的整体判别能力；Step Rec. 表示真实泄露链中的关键步骤有多少被正确还原；Full Path Acc. 表示完整泄露链是否全部还原正确。</w:t>
      </w:r>
    </w:p>
    <w:p>
      <w:pPr>
        <w:numPr>
          <w:numId w:val="19"/>
        </w:numPr>
        <w:spacing w:before="120" w:after="120" w:line="288" w:lineRule="auto"/>
        <w:ind w:left="0"/>
        <w:jc w:val="left"/>
      </w:pPr>
      <w:r>
        <w:rPr>
          <w:rFonts w:eastAsia="等线" w:ascii="Arial" w:cs="Arial" w:hAnsi="Arial"/>
          <w:sz w:val="22"/>
        </w:rPr>
        <w:t>对比变体：Full ScreenGuard、w/o Log Guidance、w/o Taint Tracking、w/o Datalog Reasoning、GUI-only。</w:t>
      </w:r>
    </w:p>
    <w:p>
      <w:pPr>
        <w:numPr>
          <w:numId w:val="20"/>
        </w:numPr>
        <w:spacing w:before="120" w:after="120" w:line="288" w:lineRule="auto"/>
        <w:ind w:left="0"/>
        <w:jc w:val="left"/>
      </w:pPr>
      <w:r>
        <w:rPr>
          <w:rFonts w:eastAsia="等线" w:ascii="Arial" w:cs="Arial" w:hAnsi="Arial"/>
          <w:sz w:val="22"/>
        </w:rPr>
        <w:t>数据集样本：全部外泄案例及正常案例，用于计算 Case F1。；；完整外发案例30个和未知案例15个，用于计算 Step Rec. 与 Full Path Acc.；</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备注：各变体仅移除对应模块，其余实验设置、模型和数据保持一致，以保证性能差异可归因于被消融模块。</w:t>
            </w:r>
          </w:p>
        </w:tc>
      </w:tr>
    </w:tbl>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实验四：性能</w:t>
      </w:r>
      <w:bookmarkEnd w:id="10"/>
    </w:p>
    <w:p>
      <w:pPr>
        <w:pStyle w:val="3"/>
        <w:spacing w:before="300" w:after="120" w:line="288" w:lineRule="auto"/>
        <w:ind w:left="0"/>
        <w:jc w:val="left"/>
        <w:outlineLvl w:val="2"/>
      </w:pPr>
      <w:bookmarkStart w:name="heading_11" w:id="11"/>
      <w:r>
        <w:rPr>
          <w:rFonts w:eastAsia="等线" w:ascii="Arial" w:cs="Arial" w:hAnsi="Arial"/>
          <w:b w:val="true"/>
          <w:sz w:val="30"/>
        </w:rPr>
        <w:t>figure2 长视频审计的性能对比</w:t>
      </w:r>
      <w:bookmarkEnd w:id="11"/>
    </w:p>
    <w:p>
      <w:pPr>
        <w:numPr>
          <w:numId w:val="21"/>
        </w:numPr>
        <w:spacing w:before="120" w:after="120" w:line="288" w:lineRule="auto"/>
        <w:ind w:left="0"/>
        <w:jc w:val="left"/>
      </w:pPr>
      <w:r>
        <w:rPr>
          <w:rFonts w:eastAsia="等线" w:ascii="Arial" w:cs="Arial" w:hAnsi="Arial"/>
          <w:sz w:val="22"/>
        </w:rPr>
        <w:t>可计算指标：</w:t>
      </w:r>
      <w:r>
        <w:rPr>
          <w:rFonts w:eastAsia="等线" w:ascii="Arial" w:cs="Arial" w:hAnsi="Arial"/>
          <w:b w:val="true"/>
          <w:color w:val="8f959e"/>
          <w:sz w:val="22"/>
        </w:rPr>
        <w:t>Analysis Time (min)；Total MLLM Tokens (M)</w:t>
      </w:r>
    </w:p>
    <w:p>
      <w:pPr>
        <w:numPr>
          <w:numId w:val="22"/>
        </w:numPr>
        <w:spacing w:before="120" w:after="120" w:line="288" w:lineRule="auto"/>
        <w:ind w:left="0"/>
        <w:jc w:val="left"/>
      </w:pPr>
      <w:r>
        <w:rPr>
          <w:rFonts w:eastAsia="等线" w:ascii="Arial" w:cs="Arial" w:hAnsi="Arial"/>
          <w:sz w:val="22"/>
        </w:rPr>
        <w:t>数据集样本,11-1/11-2（补充其他时长的版本）</w:t>
      </w:r>
    </w:p>
    <w:p>
      <w:pPr>
        <w:numPr>
          <w:numId w:val="23"/>
        </w:numPr>
        <w:spacing w:before="120" w:after="120" w:line="288" w:lineRule="auto"/>
        <w:ind w:left="0"/>
        <w:jc w:val="left"/>
      </w:pPr>
      <w:r>
        <w:rPr>
          <w:rFonts w:eastAsia="等线" w:ascii="Arial" w:cs="Arial" w:hAnsi="Arial"/>
          <w:sz w:val="22"/>
        </w:rPr>
        <w:t>就补充一个场景</w:t>
      </w:r>
    </w:p>
    <w:p>
      <w:pPr>
        <w:spacing w:before="120" w:after="120" w:line="288" w:lineRule="auto"/>
        <w:ind w:left="0"/>
      </w:pPr>
      <w:r>
        <w:object>
          <v:shape id="_x0000_i1027" style="width:414pt;height:197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可整理成然后绘图：</w:t>
      </w:r>
    </w:p>
    <w:p>
      <w:pPr>
        <w:spacing w:before="120" w:after="120" w:line="288" w:lineRule="auto"/>
        <w:ind w:left="0"/>
      </w:pPr>
      <w:r>
        <w:object>
          <v:shape id="_x0000_i1028" style="width:414pt;height:109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2" w:id="12"/>
      <w:r>
        <w:rPr>
          <w:rFonts w:eastAsia="等线" w:ascii="Arial" w:cs="Arial" w:hAnsi="Arial"/>
          <w:b w:val="true"/>
          <w:sz w:val="30"/>
        </w:rPr>
        <w:t>table5：比较ScreenGuard使用不同的VLM的性能和花费开销</w:t>
      </w:r>
      <w:bookmarkEnd w:id="12"/>
    </w:p>
    <w:p>
      <w:pPr>
        <w:numPr>
          <w:numId w:val="24"/>
        </w:numPr>
        <w:spacing w:before="120" w:after="120" w:line="288" w:lineRule="auto"/>
        <w:ind w:left="0"/>
        <w:jc w:val="left"/>
      </w:pPr>
      <w:r>
        <w:rPr>
          <w:rFonts w:eastAsia="等线" w:ascii="Arial" w:cs="Arial" w:hAnsi="Arial"/>
          <w:sz w:val="22"/>
        </w:rPr>
        <w:t>数据集：all样本</w:t>
      </w:r>
    </w:p>
    <w:p>
      <w:pPr>
        <w:numPr>
          <w:numId w:val="25"/>
        </w:numPr>
        <w:spacing w:before="120" w:after="120" w:line="288" w:lineRule="auto"/>
        <w:ind w:left="0"/>
        <w:jc w:val="left"/>
      </w:pPr>
      <w:r>
        <w:rPr>
          <w:rFonts w:eastAsia="等线" w:ascii="Arial" w:cs="Arial" w:hAnsi="Arial"/>
          <w:sz w:val="22"/>
        </w:rPr>
        <w:t>可以使用不同的api-key运行，来记录</w:t>
      </w:r>
    </w:p>
    <w:p>
      <w:pPr>
        <w:spacing w:before="120" w:after="120" w:line="288" w:lineRule="auto"/>
        <w:ind w:left="0"/>
      </w:pPr>
      <w:r>
        <w:object>
          <v:shape id="_x0000_i1029" style="width:414pt;height:56pt;mso-width-percent:0;mso-height-percent:0;mso-width-percent:0;mso-height-percent:0" type="#_x0000_t75" o:ole="">
            <v:imagedata r:id="rId14"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3" w:id="13"/>
      <w:r>
        <w:rPr>
          <w:rFonts w:eastAsia="等线" w:ascii="Arial" w:cs="Arial" w:hAnsi="Arial"/>
          <w:b w:val="true"/>
          <w:sz w:val="30"/>
        </w:rPr>
        <w:t>figure6 客户端部署的开销性能，数据采集与数据缩减开销</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客户端在不同日常使用时长下会产生多少屏幕数据，ScreenGuard 的本地筛选机制能够减少多少需要保存和传输的数据？</w:t>
            </w:r>
          </w:p>
        </w:tc>
      </w:tr>
    </w:tbl>
    <w:p>
      <w:pPr>
        <w:spacing w:before="120" w:after="120" w:line="288" w:lineRule="auto"/>
        <w:ind w:left="0"/>
        <w:jc w:val="left"/>
      </w:pPr>
      <w:r>
        <w:rPr>
          <w:rFonts w:eastAsia="等线" w:ascii="Arial" w:cs="Arial" w:hAnsi="Arial"/>
          <w:sz w:val="22"/>
        </w:rPr>
        <w:t>实验流程：</w:t>
      </w:r>
    </w:p>
    <w:p>
      <w:pPr>
        <w:numPr>
          <w:numId w:val="26"/>
        </w:numPr>
        <w:spacing w:before="120" w:after="120" w:line="288" w:lineRule="auto"/>
        <w:ind w:left="0"/>
        <w:jc w:val="left"/>
      </w:pPr>
      <w:r>
        <w:rPr>
          <w:rFonts w:eastAsia="等线" w:ascii="Arial" w:cs="Arial" w:hAnsi="Arial"/>
          <w:sz w:val="22"/>
        </w:rPr>
        <w:t>3 h / 6 h / 10 h 的固定办公流程</w:t>
      </w:r>
    </w:p>
    <w:p>
      <w:pPr>
        <w:numPr>
          <w:numId w:val="27"/>
        </w:numPr>
        <w:spacing w:before="120" w:after="120" w:line="288" w:lineRule="auto"/>
        <w:ind w:left="0"/>
        <w:jc w:val="left"/>
      </w:pPr>
      <w:r>
        <w:rPr>
          <w:rFonts w:eastAsia="等线" w:ascii="Arial" w:cs="Arial" w:hAnsi="Arial"/>
          <w:sz w:val="22"/>
        </w:rPr>
        <w:t>记录指标</w:t>
      </w:r>
    </w:p>
    <w:p>
      <w:pPr>
        <w:spacing w:before="120" w:after="120" w:line="288" w:lineRule="auto"/>
        <w:ind w:left="0"/>
      </w:pPr>
      <w:r>
        <w:object>
          <v:shape id="_x0000_i1030" style="width:414pt;height:85pt;mso-width-percent:0;mso-height-percent:0;mso-width-percent:0;mso-height-percent:0" type="#_x0000_t75" o:ole="">
            <v:imagedata r:id="rId16" o:title=""/>
          </v:shape>
          <o:OLEObject DrawAspect="Icon" ObjectID="_1718471224" ProgID="Excel.Sheet.12" ShapeID="_x0000_i1030" Type="Embed" r:id="rId15"/>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4" w:id="14"/>
      <w:r>
        <w:rPr>
          <w:rFonts w:eastAsia="等线" w:ascii="Arial" w:cs="Arial" w:hAnsi="Arial"/>
          <w:b w:val="true"/>
          <w:sz w:val="30"/>
        </w:rPr>
        <w:t>figure7 不同并发请求下的服务端分析性能</w:t>
      </w:r>
      <w:bookmarkEnd w:id="1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服务器分析时，服务器的处理吞吐量和请求延迟如何变化？最佳并发度是多少？</w:t>
            </w:r>
          </w:p>
        </w:tc>
      </w:tr>
    </w:tbl>
    <w:p>
      <w:pPr>
        <w:spacing w:before="120" w:after="120" w:line="288" w:lineRule="auto"/>
        <w:ind w:left="0"/>
        <w:jc w:val="left"/>
      </w:pPr>
      <w:r>
        <w:rPr>
          <w:rFonts w:eastAsia="等线" w:ascii="Arial" w:cs="Arial" w:hAnsi="Arial"/>
          <w:sz w:val="22"/>
        </w:rPr>
        <w:t>实验流程：</w:t>
      </w:r>
    </w:p>
    <w:p>
      <w:pPr>
        <w:numPr>
          <w:numId w:val="28"/>
        </w:numPr>
        <w:spacing w:before="120" w:after="120" w:line="288" w:lineRule="auto"/>
        <w:ind w:left="0"/>
        <w:jc w:val="left"/>
      </w:pPr>
      <w:r>
        <w:rPr>
          <w:rFonts w:eastAsia="等线" w:ascii="Arial" w:cs="Arial" w:hAnsi="Arial"/>
          <w:sz w:val="22"/>
        </w:rPr>
        <w:t>从现有数据集中选出部分候选片段，</w:t>
      </w:r>
    </w:p>
    <w:p>
      <w:pPr>
        <w:numPr>
          <w:numId w:val="29"/>
        </w:numPr>
        <w:spacing w:before="120" w:after="120" w:line="288" w:lineRule="auto"/>
        <w:ind w:left="0"/>
        <w:jc w:val="left"/>
      </w:pPr>
      <w:r>
        <w:rPr>
          <w:rFonts w:eastAsia="等线" w:ascii="Arial" w:cs="Arial" w:hAnsi="Arial"/>
          <w:sz w:val="22"/>
        </w:rPr>
        <w:t>测试并发度 1、2、3 、 4</w:t>
      </w:r>
    </w:p>
    <w:p>
      <w:pPr>
        <w:numPr>
          <w:numId w:val="30"/>
        </w:numPr>
        <w:spacing w:before="120" w:after="120" w:line="288" w:lineRule="auto"/>
        <w:ind w:left="0"/>
        <w:jc w:val="left"/>
      </w:pPr>
      <w:r>
        <w:rPr>
          <w:rFonts w:eastAsia="等线" w:ascii="Arial" w:cs="Arial" w:hAnsi="Arial"/>
          <w:sz w:val="22"/>
        </w:rPr>
        <w:t xml:space="preserve">指标，Processing Throughput，P95 latency </w:t>
      </w:r>
    </w:p>
    <w:p>
      <w:pPr>
        <w:numPr>
          <w:numId w:val="31"/>
        </w:numPr>
        <w:spacing w:before="120" w:after="120" w:line="288" w:lineRule="auto"/>
        <w:ind w:left="0"/>
        <w:jc w:val="left"/>
      </w:pPr>
      <w:r>
        <w:rPr>
          <w:rFonts w:eastAsia="等线" w:ascii="Arial" w:cs="Arial" w:hAnsi="Arial"/>
          <w:sz w:val="22"/>
        </w:rPr>
        <w:t>……</w:t>
      </w:r>
    </w:p>
    <w:p>
      <w:pPr>
        <w:spacing w:before="120" w:after="120" w:line="288" w:lineRule="auto"/>
        <w:ind w:left="0"/>
      </w:pPr>
      <w:r>
        <w:object>
          <v:shape id="_x0000_i1031" style="width:414pt;height:90pt;mso-width-percent:0;mso-height-percent:0;mso-width-percent:0;mso-height-percent:0" type="#_x0000_t75" o:ole="">
            <v:imagedata r:id="rId18" o:title=""/>
          </v:shape>
          <o:OLEObject DrawAspect="Icon" ObjectID="_1718471225" ProgID="Excel.Sheet.12" ShapeID="_x0000_i1031" Type="Embed" r:id="rId17"/>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5" w:id="15"/>
      <w:r>
        <w:rPr>
          <w:rFonts w:eastAsia="等线" w:ascii="Arial" w:cs="Arial" w:hAnsi="Arial"/>
          <w:b w:val="true"/>
          <w:sz w:val="32"/>
        </w:rPr>
        <w:t>补充实验：附录</w:t>
      </w:r>
      <w:bookmarkEnd w:id="15"/>
    </w:p>
    <w:p>
      <w:pPr>
        <w:spacing w:before="120" w:after="120" w:line="288" w:lineRule="auto"/>
        <w:ind w:left="0"/>
        <w:jc w:val="left"/>
      </w:pPr>
      <w:r>
        <w:rPr>
          <w:rFonts w:eastAsia="等线" w:ascii="Arial" w:cs="Arial" w:hAnsi="Arial"/>
          <w:sz w:val="22"/>
        </w:rPr>
        <w:t>收集更多性能数据在附录展示。</w:t>
      </w:r>
    </w:p>
    <w:p>
      <w:pPr>
        <w:spacing w:before="120" w:after="120" w:line="288" w:lineRule="auto"/>
        <w:ind w:left="0"/>
        <w:jc w:val="left"/>
      </w:pP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46706">
    <w:lvl>
      <w:numFmt w:val="bullet"/>
      <w:suff w:val="space"/>
      <w:lvlText w:val="□"/>
    </w:lvl>
  </w:abstractNum>
  <w:abstractNum w:abstractNumId="646707">
    <w:lvl>
      <w:numFmt w:val="bullet"/>
      <w:suff w:val="space"/>
      <w:lvlText w:val="□"/>
    </w:lvl>
  </w:abstractNum>
  <w:abstractNum w:abstractNumId="646708">
    <w:lvl>
      <w:numFmt w:val="bullet"/>
      <w:suff w:val="space"/>
      <w:lvlText w:val="□"/>
      <w:lvlText w:val="☑"/>
    </w:lvl>
  </w:abstractNum>
  <w:abstractNum w:abstractNumId="646709">
    <w:lvl>
      <w:numFmt w:val="bullet"/>
      <w:suff w:val="tab"/>
      <w:lvlText w:val="•"/>
      <w:rPr>
        <w:color w:val="3370ff"/>
      </w:rPr>
    </w:lvl>
  </w:abstractNum>
  <w:abstractNum w:abstractNumId="646710">
    <w:lvl>
      <w:numFmt w:val="bullet"/>
      <w:suff w:val="tab"/>
      <w:lvlText w:val="•"/>
      <w:rPr>
        <w:color w:val="3370ff"/>
      </w:rPr>
    </w:lvl>
  </w:abstractNum>
  <w:abstractNum w:abstractNumId="646711">
    <w:lvl>
      <w:numFmt w:val="bullet"/>
      <w:suff w:val="tab"/>
      <w:lvlText w:val="•"/>
      <w:rPr>
        <w:color w:val="3370ff"/>
      </w:rPr>
    </w:lvl>
  </w:abstractNum>
  <w:abstractNum w:abstractNumId="646712">
    <w:lvl>
      <w:numFmt w:val="bullet"/>
      <w:suff w:val="tab"/>
      <w:lvlText w:val="•"/>
      <w:rPr>
        <w:color w:val="3370ff"/>
      </w:rPr>
    </w:lvl>
  </w:abstractNum>
  <w:abstractNum w:abstractNumId="646713">
    <w:lvl>
      <w:numFmt w:val="bullet"/>
      <w:suff w:val="tab"/>
      <w:lvlText w:val="•"/>
      <w:rPr>
        <w:color w:val="3370ff"/>
      </w:rPr>
    </w:lvl>
  </w:abstractNum>
  <w:abstractNum w:abstractNumId="646714">
    <w:lvl>
      <w:numFmt w:val="bullet"/>
      <w:suff w:val="tab"/>
      <w:lvlText w:val="•"/>
      <w:rPr>
        <w:color w:val="3370ff"/>
      </w:rPr>
    </w:lvl>
  </w:abstractNum>
  <w:abstractNum w:abstractNumId="646715">
    <w:lvl>
      <w:numFmt w:val="bullet"/>
      <w:suff w:val="tab"/>
      <w:lvlText w:val="•"/>
      <w:rPr>
        <w:color w:val="3370ff"/>
      </w:rPr>
    </w:lvl>
  </w:abstractNum>
  <w:abstractNum w:abstractNumId="646716">
    <w:lvl>
      <w:numFmt w:val="bullet"/>
      <w:suff w:val="tab"/>
      <w:lvlText w:val="•"/>
      <w:rPr>
        <w:color w:val="3370ff"/>
      </w:rPr>
    </w:lvl>
  </w:abstractNum>
  <w:abstractNum w:abstractNumId="646717">
    <w:lvl>
      <w:numFmt w:val="bullet"/>
      <w:suff w:val="tab"/>
      <w:lvlText w:val="•"/>
      <w:rPr>
        <w:color w:val="3370ff"/>
      </w:rPr>
    </w:lvl>
  </w:abstractNum>
  <w:abstractNum w:abstractNumId="646718">
    <w:lvl>
      <w:numFmt w:val="bullet"/>
      <w:suff w:val="tab"/>
      <w:lvlText w:val="•"/>
      <w:rPr>
        <w:color w:val="3370ff"/>
      </w:rPr>
    </w:lvl>
  </w:abstractNum>
  <w:abstractNum w:abstractNumId="646719">
    <w:lvl>
      <w:numFmt w:val="bullet"/>
      <w:suff w:val="tab"/>
      <w:lvlText w:val="•"/>
      <w:rPr>
        <w:color w:val="3370ff"/>
      </w:rPr>
    </w:lvl>
  </w:abstractNum>
  <w:abstractNum w:abstractNumId="646720">
    <w:lvl>
      <w:numFmt w:val="bullet"/>
      <w:suff w:val="tab"/>
      <w:lvlText w:val="•"/>
      <w:rPr>
        <w:color w:val="3370ff"/>
      </w:rPr>
    </w:lvl>
  </w:abstractNum>
  <w:abstractNum w:abstractNumId="646721">
    <w:lvl>
      <w:numFmt w:val="bullet"/>
      <w:suff w:val="tab"/>
      <w:lvlText w:val="•"/>
      <w:rPr>
        <w:color w:val="3370ff"/>
      </w:rPr>
    </w:lvl>
  </w:abstractNum>
  <w:abstractNum w:abstractNumId="646722">
    <w:lvl>
      <w:numFmt w:val="bullet"/>
      <w:suff w:val="tab"/>
      <w:lvlText w:val="•"/>
      <w:rPr>
        <w:color w:val="3370ff"/>
      </w:rPr>
    </w:lvl>
  </w:abstractNum>
  <w:abstractNum w:abstractNumId="646723">
    <w:lvl>
      <w:numFmt w:val="bullet"/>
      <w:suff w:val="tab"/>
      <w:lvlText w:val="•"/>
      <w:rPr>
        <w:color w:val="3370ff"/>
      </w:rPr>
    </w:lvl>
  </w:abstractNum>
  <w:abstractNum w:abstractNumId="646724">
    <w:lvl>
      <w:numFmt w:val="bullet"/>
      <w:suff w:val="tab"/>
      <w:lvlText w:val="•"/>
      <w:rPr>
        <w:color w:val="3370ff"/>
      </w:rPr>
    </w:lvl>
  </w:abstractNum>
  <w:abstractNum w:abstractNumId="646725">
    <w:lvl>
      <w:numFmt w:val="bullet"/>
      <w:suff w:val="tab"/>
      <w:lvlText w:val="•"/>
      <w:rPr>
        <w:color w:val="3370ff"/>
      </w:rPr>
    </w:lvl>
  </w:abstractNum>
  <w:abstractNum w:abstractNumId="646726">
    <w:lvl>
      <w:numFmt w:val="bullet"/>
      <w:suff w:val="tab"/>
      <w:lvlText w:val="•"/>
      <w:rPr>
        <w:color w:val="3370ff"/>
      </w:rPr>
    </w:lvl>
  </w:abstractNum>
  <w:abstractNum w:abstractNumId="646727">
    <w:lvl>
      <w:numFmt w:val="bullet"/>
      <w:suff w:val="tab"/>
      <w:lvlText w:val="•"/>
      <w:rPr>
        <w:color w:val="3370ff"/>
      </w:rPr>
    </w:lvl>
  </w:abstractNum>
  <w:abstractNum w:abstractNumId="646728">
    <w:lvl>
      <w:numFmt w:val="bullet"/>
      <w:suff w:val="tab"/>
      <w:lvlText w:val="•"/>
      <w:rPr>
        <w:color w:val="3370ff"/>
      </w:rPr>
    </w:lvl>
  </w:abstractNum>
  <w:abstractNum w:abstractNumId="646729">
    <w:lvl>
      <w:numFmt w:val="bullet"/>
      <w:suff w:val="tab"/>
      <w:lvlText w:val="•"/>
      <w:rPr>
        <w:color w:val="3370ff"/>
      </w:rPr>
    </w:lvl>
  </w:abstractNum>
  <w:abstractNum w:abstractNumId="646730">
    <w:lvl>
      <w:numFmt w:val="bullet"/>
      <w:suff w:val="tab"/>
      <w:lvlText w:val="•"/>
      <w:rPr>
        <w:color w:val="3370ff"/>
      </w:rPr>
    </w:lvl>
  </w:abstractNum>
  <w:abstractNum w:abstractNumId="646731">
    <w:lvl>
      <w:numFmt w:val="bullet"/>
      <w:suff w:val="tab"/>
      <w:lvlText w:val="•"/>
      <w:rPr>
        <w:color w:val="3370ff"/>
      </w:rPr>
    </w:lvl>
  </w:abstractNum>
  <w:abstractNum w:abstractNumId="646732">
    <w:lvl>
      <w:numFmt w:val="bullet"/>
      <w:suff w:val="tab"/>
      <w:lvlText w:val="•"/>
      <w:rPr>
        <w:color w:val="3370ff"/>
      </w:rPr>
    </w:lvl>
  </w:abstractNum>
  <w:abstractNum w:abstractNumId="646733">
    <w:lvl>
      <w:numFmt w:val="bullet"/>
      <w:suff w:val="tab"/>
      <w:lvlText w:val="•"/>
      <w:rPr>
        <w:color w:val="3370ff"/>
      </w:rPr>
    </w:lvl>
  </w:abstractNum>
  <w:abstractNum w:abstractNumId="646734">
    <w:lvl>
      <w:numFmt w:val="bullet"/>
      <w:suff w:val="tab"/>
      <w:lvlText w:val="•"/>
      <w:rPr>
        <w:color w:val="3370ff"/>
      </w:rPr>
    </w:lvl>
  </w:abstractNum>
  <w:abstractNum w:abstractNumId="646735">
    <w:lvl>
      <w:numFmt w:val="bullet"/>
      <w:suff w:val="tab"/>
      <w:lvlText w:val="•"/>
      <w:rPr>
        <w:color w:val="3370ff"/>
      </w:rPr>
    </w:lvl>
  </w:abstractNum>
  <w:abstractNum w:abstractNumId="646736">
    <w:lvl>
      <w:numFmt w:val="bullet"/>
      <w:suff w:val="tab"/>
      <w:lvlText w:val="•"/>
      <w:rPr>
        <w:color w:val="3370ff"/>
      </w:rPr>
    </w:lvl>
  </w:abstractNum>
  <w:num w:numId="1">
    <w:abstractNumId w:val="646706"/>
  </w:num>
  <w:num w:numId="2">
    <w:abstractNumId w:val="646707"/>
  </w:num>
  <w:num w:numId="3">
    <w:abstractNumId w:val="646708"/>
  </w:num>
  <w:num w:numId="4">
    <w:abstractNumId w:val="646709"/>
  </w:num>
  <w:num w:numId="5">
    <w:abstractNumId w:val="646710"/>
  </w:num>
  <w:num w:numId="6">
    <w:abstractNumId w:val="646711"/>
  </w:num>
  <w:num w:numId="7">
    <w:abstractNumId w:val="646712"/>
  </w:num>
  <w:num w:numId="8">
    <w:abstractNumId w:val="646713"/>
  </w:num>
  <w:num w:numId="9">
    <w:abstractNumId w:val="646714"/>
  </w:num>
  <w:num w:numId="10">
    <w:abstractNumId w:val="646715"/>
  </w:num>
  <w:num w:numId="11">
    <w:abstractNumId w:val="646716"/>
  </w:num>
  <w:num w:numId="12">
    <w:abstractNumId w:val="646717"/>
  </w:num>
  <w:num w:numId="13">
    <w:abstractNumId w:val="646718"/>
  </w:num>
  <w:num w:numId="14">
    <w:abstractNumId w:val="646719"/>
  </w:num>
  <w:num w:numId="15">
    <w:abstractNumId w:val="646720"/>
  </w:num>
  <w:num w:numId="16">
    <w:abstractNumId w:val="646721"/>
  </w:num>
  <w:num w:numId="17">
    <w:abstractNumId w:val="646722"/>
  </w:num>
  <w:num w:numId="18">
    <w:abstractNumId w:val="646723"/>
  </w:num>
  <w:num w:numId="19">
    <w:abstractNumId w:val="646724"/>
  </w:num>
  <w:num w:numId="20">
    <w:abstractNumId w:val="646725"/>
  </w:num>
  <w:num w:numId="21">
    <w:abstractNumId w:val="646726"/>
  </w:num>
  <w:num w:numId="22">
    <w:abstractNumId w:val="646727"/>
  </w:num>
  <w:num w:numId="23">
    <w:abstractNumId w:val="646728"/>
  </w:num>
  <w:num w:numId="24">
    <w:abstractNumId w:val="646729"/>
  </w:num>
  <w:num w:numId="25">
    <w:abstractNumId w:val="646730"/>
  </w:num>
  <w:num w:numId="26">
    <w:abstractNumId w:val="646731"/>
  </w:num>
  <w:num w:numId="27">
    <w:abstractNumId w:val="646732"/>
  </w:num>
  <w:num w:numId="28">
    <w:abstractNumId w:val="646733"/>
  </w:num>
  <w:num w:numId="29">
    <w:abstractNumId w:val="646734"/>
  </w:num>
  <w:num w:numId="30">
    <w:abstractNumId w:val="646735"/>
  </w:num>
  <w:num w:numId="31">
    <w:abstractNumId w:val="6467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media/image5.png" Type="http://schemas.openxmlformats.org/officeDocument/2006/relationships/image"/><Relationship Id="rId15" Target="embeddings/Microsoft_Excel_Worksheet6.xlsx" Type="http://schemas.openxmlformats.org/officeDocument/2006/relationships/package"/><Relationship Id="rId16" Target="media/image6.png" Type="http://schemas.openxmlformats.org/officeDocument/2006/relationships/image"/><Relationship Id="rId17" Target="embeddings/Microsoft_Excel_Worksheet7.xlsx" Type="http://schemas.openxmlformats.org/officeDocument/2006/relationships/package"/><Relationship Id="rId18" Target="media/image7.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embeddings/Microsoft_Excel_Worksheet1.xlsx" Type="http://schemas.openxmlformats.org/officeDocument/2006/relationships/package"/><Relationship Id="rId6" Target="media/image1.png" Type="http://schemas.openxmlformats.org/officeDocument/2006/relationships/image"/><Relationship Id="rId7" Target="embeddings/Microsoft_Excel_Worksheet2.xlsx" Type="http://schemas.openxmlformats.org/officeDocument/2006/relationships/package"/><Relationship Id="rId8" Target="media/image2.png" Type="http://schemas.openxmlformats.org/officeDocument/2006/relationships/image"/><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2026-07-22T18:08:08Z</dcterms:created>
  <dc:creator>Apache POI</dc:creator>
</cp:coreProperties>
</file>