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Rule="auto"/>
        <w:jc w:val="center"/>
        <w:rPr>
          <w:b w:val="1"/>
          <w:bCs w:val="1"/>
          <w:sz w:val="46"/>
          <w:szCs w:val="46"/>
        </w:rPr>
      </w:pPr>
      <w:bookmarkStart w:colFirst="0" w:colLast="0" w:name="_5q5at1j3wxuv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Entrega 1: Modelo Conceitual (DER)</w:t>
      </w:r>
    </w:p>
    <w:p w:rsidR="00000000" w:rsidDel="00000000" w:rsidP="00000000" w:rsidRDefault="00000000" w:rsidRPr="00000000" w14:paraId="00000002">
      <w:pPr>
        <w:spacing w:after="240" w:lineRule="auto"/>
        <w:jc w:val="center"/>
        <w:rPr>
          <w:b w:val="1"/>
          <w:bCs w:val="1"/>
          <w:sz w:val="25"/>
          <w:szCs w:val="25"/>
        </w:rPr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Sistema de Gestão de Informações – Mont Ararat Burger House</w:t>
      </w:r>
    </w:p>
    <w:p w:rsidR="00000000" w:rsidDel="00000000" w:rsidP="00000000" w:rsidRDefault="00000000" w:rsidRPr="00000000" w14:paraId="00000003">
      <w:pPr>
        <w:spacing w:after="240" w:lineRule="auto"/>
        <w:jc w:val="center"/>
        <w:rPr>
          <w:b w:val="1"/>
          <w:bCs w:val="1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before="0" w:lineRule="auto"/>
        <w:jc w:val="center"/>
        <w:rPr>
          <w:b w:val="1"/>
          <w:bCs w:val="1"/>
          <w:sz w:val="34"/>
          <w:szCs w:val="34"/>
        </w:rPr>
      </w:pPr>
      <w:bookmarkStart w:colFirst="0" w:colLast="0" w:name="_j1geyynu5pa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Metadados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0" w:afterAutospacing="0" w:lineRule="auto"/>
        <w:ind w:left="720" w:hanging="36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Integrantes do Grupo (Nomes e RGMs): 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lineRule="auto"/>
        <w:ind w:left="720" w:hanging="360"/>
        <w:rPr>
          <w:sz w:val="25"/>
          <w:szCs w:val="25"/>
          <w:u w:val="none"/>
        </w:rPr>
      </w:pPr>
      <w:r w:rsidDel="00000000" w:rsidR="00000000" w:rsidRPr="00000000">
        <w:rPr>
          <w:sz w:val="25"/>
          <w:szCs w:val="25"/>
          <w:rtl w:val="0"/>
        </w:rPr>
        <w:t xml:space="preserve">– Gustavo Almeida de Lima, RGM: 48157899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lineRule="auto"/>
        <w:ind w:left="720" w:hanging="360"/>
        <w:rPr>
          <w:sz w:val="25"/>
          <w:szCs w:val="25"/>
          <w:u w:val="none"/>
        </w:rPr>
      </w:pPr>
      <w:r w:rsidDel="00000000" w:rsidR="00000000" w:rsidRPr="00000000">
        <w:rPr>
          <w:sz w:val="25"/>
          <w:szCs w:val="25"/>
          <w:rtl w:val="0"/>
        </w:rPr>
        <w:t xml:space="preserve">– Mariana Brito Farias, RGM: 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240" w:lineRule="auto"/>
        <w:ind w:left="720" w:hanging="360"/>
        <w:rPr>
          <w:sz w:val="25"/>
          <w:szCs w:val="25"/>
          <w:u w:val="none"/>
        </w:rPr>
      </w:pPr>
      <w:r w:rsidDel="00000000" w:rsidR="00000000" w:rsidRPr="00000000">
        <w:rPr>
          <w:sz w:val="25"/>
          <w:szCs w:val="25"/>
          <w:rtl w:val="0"/>
        </w:rPr>
        <w:t xml:space="preserve">– Ynaê Ribeiro da Silva, RGM: </w:t>
      </w:r>
    </w:p>
    <w:p w:rsidR="00000000" w:rsidDel="00000000" w:rsidP="00000000" w:rsidRDefault="00000000" w:rsidRPr="00000000" w14:paraId="00000009">
      <w:pPr>
        <w:spacing w:after="240" w:lineRule="auto"/>
        <w:ind w:left="720" w:firstLine="0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lineRule="auto"/>
        <w:ind w:left="0" w:firstLine="0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lineRule="auto"/>
        <w:ind w:left="0" w:firstLine="0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Caracterização da Organização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0" w:lineRule="auto"/>
        <w:jc w:val="center"/>
        <w:rPr>
          <w:b w:val="1"/>
          <w:bCs w:val="1"/>
          <w:color w:val="000000"/>
          <w:sz w:val="26"/>
          <w:szCs w:val="26"/>
        </w:rPr>
      </w:pPr>
      <w:bookmarkStart w:colFirst="0" w:colLast="0" w:name="_o4leaj6xazot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Nome e Natureza da Organização: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lineRule="auto"/>
        <w:ind w:left="720" w:hanging="360"/>
        <w:rPr/>
      </w:pPr>
      <w:r w:rsidDel="00000000" w:rsidR="00000000" w:rsidRPr="00000000">
        <w:rPr>
          <w:sz w:val="25"/>
          <w:szCs w:val="25"/>
          <w:rtl w:val="0"/>
        </w:rPr>
        <w:t xml:space="preserve">Razão Social: MONT ARARAT BURGER HOUSE LTDA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lineRule="auto"/>
        <w:ind w:left="720" w:hanging="360"/>
        <w:rPr/>
      </w:pPr>
      <w:r w:rsidDel="00000000" w:rsidR="00000000" w:rsidRPr="00000000">
        <w:rPr>
          <w:sz w:val="25"/>
          <w:szCs w:val="25"/>
          <w:rtl w:val="0"/>
        </w:rPr>
        <w:t xml:space="preserve">Nome Fantasia: Mont Ararat Burger House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lineRule="auto"/>
        <w:ind w:left="720" w:hanging="360"/>
        <w:rPr/>
      </w:pPr>
      <w:r w:rsidDel="00000000" w:rsidR="00000000" w:rsidRPr="00000000">
        <w:rPr>
          <w:sz w:val="25"/>
          <w:szCs w:val="25"/>
          <w:rtl w:val="0"/>
        </w:rPr>
        <w:t xml:space="preserve">CNPJ: 46.336.364/0001-48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lineRule="auto"/>
        <w:ind w:left="720" w:hanging="360"/>
        <w:rPr/>
      </w:pPr>
      <w:r w:rsidDel="00000000" w:rsidR="00000000" w:rsidRPr="00000000">
        <w:rPr>
          <w:sz w:val="25"/>
          <w:szCs w:val="25"/>
          <w:rtl w:val="0"/>
        </w:rPr>
        <w:t xml:space="preserve">Natureza Jurídica: Sociedade Empresária Limitada (LTDA) / Organização Privada com Fins Lucrativos.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240" w:lineRule="auto"/>
        <w:ind w:left="720" w:hanging="360"/>
        <w:rPr/>
      </w:pPr>
      <w:r w:rsidDel="00000000" w:rsidR="00000000" w:rsidRPr="00000000">
        <w:rPr>
          <w:sz w:val="25"/>
          <w:szCs w:val="25"/>
          <w:rtl w:val="0"/>
        </w:rPr>
        <w:t xml:space="preserve">Atividade Econômica Principal (CNAE): Lanchonetes</w:t>
      </w:r>
    </w:p>
    <w:p w:rsidR="00000000" w:rsidDel="00000000" w:rsidP="00000000" w:rsidRDefault="00000000" w:rsidRPr="00000000" w14:paraId="00000012">
      <w:pPr>
        <w:jc w:val="center"/>
        <w:rPr>
          <w:b w:val="1"/>
          <w:bCs w:val="1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72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Evidências da organização: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Logradouro: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21"/>
          <w:szCs w:val="21"/>
          <w:shd w:fill="f0f4fa" w:val="clear"/>
          <w:rtl w:val="0"/>
        </w:rPr>
        <w:t xml:space="preserve">Rua Vercínio Pereira de Souza, 1199, São Paulo, São Paulo,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Bairro:</w:t>
      </w:r>
      <w:r w:rsidDel="00000000" w:rsidR="00000000" w:rsidRPr="00000000">
        <w:rPr>
          <w:rtl w:val="0"/>
        </w:rPr>
        <w:t xml:space="preserve"> São Mateus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CEP: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21"/>
          <w:szCs w:val="21"/>
          <w:shd w:fill="f0f4fa" w:val="clear"/>
          <w:rtl w:val="0"/>
        </w:rPr>
        <w:t xml:space="preserve">03945-000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Município:</w:t>
      </w:r>
      <w:r w:rsidDel="00000000" w:rsidR="00000000" w:rsidRPr="00000000">
        <w:rPr>
          <w:rtl w:val="0"/>
        </w:rPr>
        <w:t xml:space="preserve"> São Paulo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São Paulo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Google Maps:</w:t>
      </w:r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Mont Ararat Hamburgueria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Instagram:</w:t>
      </w:r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https://www.instagram.com/montararatburger/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Contato (telefone): </w:t>
      </w:r>
      <w:r w:rsidDel="00000000" w:rsidR="00000000" w:rsidRPr="00000000">
        <w:rPr>
          <w:rtl w:val="0"/>
        </w:rPr>
        <w:t xml:space="preserve">(11)2015-5871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Pesquisa de Campo:</w:t>
      </w:r>
      <w:r w:rsidDel="00000000" w:rsidR="00000000" w:rsidRPr="00000000">
        <w:rPr>
          <w:rtl w:val="0"/>
        </w:rPr>
        <w:t xml:space="preserve"> Entrevista direta realizada com a gerência local e observação de campo, acompanhada de registros fotográficos do cardápio, fita de fechamento de caixa e planilhas operacionais.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Evidencias – Entrevista: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hd w:fill="ffffff" w:val="clear"/>
        <w:spacing w:before="280" w:lineRule="auto"/>
        <w:ind w:firstLine="720"/>
        <w:jc w:val="center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alhne2l2qoa6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Contexto e Porte:</w:t>
      </w:r>
    </w:p>
    <w:p w:rsidR="00000000" w:rsidDel="00000000" w:rsidP="00000000" w:rsidRDefault="00000000" w:rsidRPr="00000000" w14:paraId="0000004B">
      <w:pPr>
        <w:shd w:fill="ffffff" w:val="clear"/>
        <w:spacing w:after="240" w:before="240" w:lineRule="auto"/>
        <w:ind w:firstLine="72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 Mont Ararat Burger House é uma rede regional de hamburguerias artesanais. Classifica-se formalmente como Microempresa (ME) / Empresa de Pequeno Porte (EPP). Fundada originalmente em 2016, a marca conta com unidades em São Paulo (unidade de estudo em São Mateus), Suzano e Mogi das Cruzes.</w:t>
      </w:r>
    </w:p>
    <w:p w:rsidR="00000000" w:rsidDel="00000000" w:rsidP="00000000" w:rsidRDefault="00000000" w:rsidRPr="00000000" w14:paraId="0000004C">
      <w:pPr>
        <w:shd w:fill="ffffff" w:val="clear"/>
        <w:spacing w:after="240" w:before="240" w:lineRule="auto"/>
        <w:ind w:firstLine="72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ffffff" w:val="clear"/>
        <w:spacing w:after="240" w:before="240" w:lineRule="auto"/>
        <w:ind w:left="0" w:firstLine="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hd w:fill="ffffff" w:val="clear"/>
        <w:spacing w:before="0" w:lineRule="auto"/>
        <w:ind w:firstLine="720"/>
        <w:jc w:val="center"/>
        <w:rPr>
          <w:b w:val="1"/>
          <w:bCs w:val="1"/>
          <w:color w:val="000000"/>
          <w:sz w:val="26"/>
          <w:szCs w:val="26"/>
        </w:rPr>
      </w:pPr>
      <w:bookmarkStart w:colFirst="0" w:colLast="0" w:name="_meckn9c2y8ho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Tamanho da Operação: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Infraestrutura Física:</w:t>
      </w:r>
      <w:r w:rsidDel="00000000" w:rsidR="00000000" w:rsidRPr="00000000">
        <w:rPr>
          <w:sz w:val="24"/>
          <w:szCs w:val="24"/>
          <w:rtl w:val="0"/>
        </w:rPr>
        <w:t xml:space="preserve"> Salão com capacidade para 30 mesas presenciais, com gestão dinâmica de ocupação e comandas.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Terminais de Atendimento:</w:t>
      </w:r>
      <w:r w:rsidDel="00000000" w:rsidR="00000000" w:rsidRPr="00000000">
        <w:rPr>
          <w:sz w:val="24"/>
          <w:szCs w:val="24"/>
          <w:rtl w:val="0"/>
        </w:rPr>
        <w:t xml:space="preserve"> 2 Terminais de caixa físicos operando simultaneamente (Caixa 01: Salão / Caixa 02: Delivery e Balcão).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Arquitetura de Atendimento:</w:t>
      </w:r>
      <w:r w:rsidDel="00000000" w:rsidR="00000000" w:rsidRPr="00000000">
        <w:rPr>
          <w:sz w:val="24"/>
          <w:szCs w:val="24"/>
          <w:rtl w:val="0"/>
        </w:rPr>
        <w:t xml:space="preserve"> Operação híbrida de alta rotatividade em tempo real, integrando lançamentos presenciais e pedidos concorrentes via Delivery/Balcão com impressão na cozinha.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hd w:fill="ffffff" w:val="clear"/>
        <w:spacing w:after="24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Equipe e Turnos:</w:t>
      </w:r>
      <w:r w:rsidDel="00000000" w:rsidR="00000000" w:rsidRPr="00000000">
        <w:rPr>
          <w:sz w:val="24"/>
          <w:szCs w:val="24"/>
          <w:rtl w:val="0"/>
        </w:rPr>
        <w:t xml:space="preserve"> Operação de terça a domingo e feriados (18h às 23h em dias úteis; 18h às 00h aos fins de semana). A equipe é composta por 13 funcionários fixos (CLT) e cerca de 15 freelancers ativados aos finais de semana, divididos entre turnos de pré-preparo (manhã) e operação/atendimento (tarde/noite).</w:t>
      </w:r>
    </w:p>
    <w:p w:rsidR="00000000" w:rsidDel="00000000" w:rsidP="00000000" w:rsidRDefault="00000000" w:rsidRPr="00000000" w14:paraId="00000053">
      <w:pPr>
        <w:shd w:fill="ffffff" w:val="clear"/>
        <w:spacing w:after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0" w:lineRule="auto"/>
        <w:jc w:val="center"/>
        <w:rPr>
          <w:b w:val="1"/>
          <w:bCs w:val="1"/>
          <w:color w:val="000000"/>
          <w:sz w:val="26"/>
          <w:szCs w:val="26"/>
        </w:rPr>
      </w:pPr>
      <w:bookmarkStart w:colFirst="0" w:colLast="0" w:name="_gfcmngqlxtz0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Volume de Atividades: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0" w:after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Fluxo de Atendimentos:</w:t>
      </w:r>
    </w:p>
    <w:p w:rsidR="00000000" w:rsidDel="00000000" w:rsidP="00000000" w:rsidRDefault="00000000" w:rsidRPr="00000000" w14:paraId="00000056">
      <w:pPr>
        <w:numPr>
          <w:ilvl w:val="1"/>
          <w:numId w:val="3"/>
        </w:numPr>
        <w:spacing w:after="0" w:after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Média Diária (Dias úteis): ~80 a 120 comandas/atendimentos.</w:t>
      </w:r>
    </w:p>
    <w:p w:rsidR="00000000" w:rsidDel="00000000" w:rsidP="00000000" w:rsidRDefault="00000000" w:rsidRPr="00000000" w14:paraId="00000057">
      <w:pPr>
        <w:numPr>
          <w:ilvl w:val="1"/>
          <w:numId w:val="3"/>
        </w:numPr>
        <w:spacing w:after="0" w:after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Média Diária (Finais de semana / Pico): ~200 a 300 comandas/atendimentos.</w:t>
      </w:r>
    </w:p>
    <w:p w:rsidR="00000000" w:rsidDel="00000000" w:rsidP="00000000" w:rsidRDefault="00000000" w:rsidRPr="00000000" w14:paraId="00000058">
      <w:pPr>
        <w:numPr>
          <w:ilvl w:val="1"/>
          <w:numId w:val="3"/>
        </w:numPr>
        <w:spacing w:after="0" w:after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Projeção Mensal: ~3.000 a 4.000 comandas processadas no salão.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0" w:after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Movimentação Financeira do Salão:</w:t>
      </w:r>
    </w:p>
    <w:p w:rsidR="00000000" w:rsidDel="00000000" w:rsidP="00000000" w:rsidRDefault="00000000" w:rsidRPr="00000000" w14:paraId="0000005A">
      <w:pPr>
        <w:numPr>
          <w:ilvl w:val="1"/>
          <w:numId w:val="3"/>
        </w:numPr>
        <w:spacing w:after="0" w:after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Dia de Baixo Movimento: ~R$3.500,00/dia (com taxa de serviço).</w:t>
      </w:r>
    </w:p>
    <w:p w:rsidR="00000000" w:rsidDel="00000000" w:rsidP="00000000" w:rsidRDefault="00000000" w:rsidRPr="00000000" w14:paraId="0000005B">
      <w:pPr>
        <w:numPr>
          <w:ilvl w:val="1"/>
          <w:numId w:val="3"/>
        </w:numPr>
        <w:spacing w:after="0" w:after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Dia de Pico (Fim de semana): ~R$15.000,00 a R$18.000,00/dia (com taxa de serviço).</w:t>
      </w:r>
    </w:p>
    <w:p w:rsidR="00000000" w:rsidDel="00000000" w:rsidP="00000000" w:rsidRDefault="00000000" w:rsidRPr="00000000" w14:paraId="0000005C">
      <w:pPr>
        <w:numPr>
          <w:ilvl w:val="1"/>
          <w:numId w:val="3"/>
        </w:numPr>
        <w:spacing w:after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Observação:</w:t>
      </w:r>
      <w:r w:rsidDel="00000000" w:rsidR="00000000" w:rsidRPr="00000000">
        <w:rPr>
          <w:sz w:val="24"/>
          <w:szCs w:val="24"/>
          <w:rtl w:val="0"/>
        </w:rPr>
        <w:t xml:space="preserve"> O canal de Delivery apresenta volume de vendas superior ao do salão.</w:t>
      </w:r>
    </w:p>
    <w:p w:rsidR="00000000" w:rsidDel="00000000" w:rsidP="00000000" w:rsidRDefault="00000000" w:rsidRPr="00000000" w14:paraId="0000005D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0" w:lineRule="auto"/>
        <w:jc w:val="center"/>
        <w:rPr>
          <w:b w:val="1"/>
          <w:bCs w:val="1"/>
          <w:color w:val="000000"/>
          <w:sz w:val="26"/>
          <w:szCs w:val="26"/>
        </w:rPr>
      </w:pPr>
      <w:bookmarkStart w:colFirst="0" w:colLast="0" w:name="_6x68z3nnzqt9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Problemas e Necessidades Identificados (Crise Operacional):</w:t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Gestão Descentralizada de Compras e Estoque: O controle de insumos e compras é realizado manualmente por planilhas avulsas e não integradas. A ausência de cálculo automatizado de Ficha Técnica resulta em compras imprecisas e custos operacionais não contabilizados em tempo real.</w:t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Ausência de Cadastro Centralizado de Pessoas: Inexistência de registros formais de clientes para ações de fidelização/aniversariantes e ausência de vinculação formal de colaboradores/freelancers aos lançamentos de vendas.</w:t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Falta de padronização e Rastreabilidade do Caixa: Necessidade de vincular as vendas fracionadas (divisão de contas) e sangrias aos terminais e operadores responsáveis.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0" w:lineRule="auto"/>
        <w:jc w:val="center"/>
        <w:rPr>
          <w:b w:val="1"/>
          <w:bCs w:val="1"/>
          <w:color w:val="000000"/>
          <w:sz w:val="26"/>
          <w:szCs w:val="26"/>
        </w:rPr>
      </w:pPr>
      <w:bookmarkStart w:colFirst="0" w:colLast="0" w:name="_jwsro48xjt0u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Justificativa da Escolha:</w:t>
      </w:r>
    </w:p>
    <w:p w:rsidR="00000000" w:rsidDel="00000000" w:rsidP="00000000" w:rsidRDefault="00000000" w:rsidRPr="00000000" w14:paraId="00000064">
      <w:pPr>
        <w:spacing w:after="24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escolha da unidade São Mateus da Mont Ararat Burger House justifica-se pelo acesso direto e irrestrito do grupo às rotinas operacionais (um dos integrantes é colaborador do local). O ambiente apresenta complexidade ideal para modelagem de dados: possui volumetria rica (30 mesas, 2 caixas, múltiplos turnos e ficha técnica artesanal) sem exceder o escopo da disciplina.</w:t>
      </w:r>
    </w:p>
    <w:p w:rsidR="00000000" w:rsidDel="00000000" w:rsidP="00000000" w:rsidRDefault="00000000" w:rsidRPr="00000000" w14:paraId="0000006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—-------------------------------------------------------------------------</w:t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1lrkczpbj3d4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uw5py473jvk2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Processos de Negócio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0" w:lineRule="auto"/>
        <w:jc w:val="center"/>
        <w:rPr>
          <w:b w:val="1"/>
          <w:bCs w:val="1"/>
          <w:color w:val="000000"/>
          <w:sz w:val="26"/>
          <w:szCs w:val="26"/>
        </w:rPr>
      </w:pPr>
      <w:bookmarkStart w:colFirst="0" w:colLast="0" w:name="_21ihjmc580of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Principais Processos Mapeados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Pré-preparo e Produção de Insumos (Turno da Manhã):</w:t>
      </w:r>
      <w:r w:rsidDel="00000000" w:rsidR="00000000" w:rsidRPr="00000000">
        <w:rPr>
          <w:sz w:val="21"/>
          <w:szCs w:val="21"/>
          <w:rtl w:val="0"/>
        </w:rPr>
        <w:t xml:space="preserve"> Manipulação de insumos artesanais (moagem de carnes de 180g e 120g, preparo de molhos da casa, corte de vegetais, porcionamento).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Abertura e Operação de Caixa:</w:t>
      </w:r>
      <w:r w:rsidDel="00000000" w:rsidR="00000000" w:rsidRPr="00000000">
        <w:rPr>
          <w:sz w:val="21"/>
          <w:szCs w:val="21"/>
          <w:rtl w:val="0"/>
        </w:rPr>
        <w:t xml:space="preserve"> Abertura de sessões por terminal (Salão/Delivery) com registro de fundo de reserva (R$150,00) e atribuição de operador.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Atendimento de Salão e Gestão de Comandas:</w:t>
      </w:r>
      <w:r w:rsidDel="00000000" w:rsidR="00000000" w:rsidRPr="00000000">
        <w:rPr>
          <w:sz w:val="21"/>
          <w:szCs w:val="21"/>
          <w:rtl w:val="0"/>
        </w:rPr>
        <w:t xml:space="preserve"> Abertura de comanda associada à mesa, lançamento progressivo de itens por garçom e controle de transferência entre mesas.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Produção na Cozinha (Chapa/Montagem):</w:t>
      </w:r>
      <w:r w:rsidDel="00000000" w:rsidR="00000000" w:rsidRPr="00000000">
        <w:rPr>
          <w:sz w:val="21"/>
          <w:szCs w:val="21"/>
          <w:rtl w:val="0"/>
        </w:rPr>
        <w:t xml:space="preserve"> Recebimento dos itens de pedidos fracionados por comanda, controle de observações (ponto de carne, remoção de itens)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Fechamento de Conta e Recebimento Fracionado:</w:t>
      </w:r>
      <w:r w:rsidDel="00000000" w:rsidR="00000000" w:rsidRPr="00000000">
        <w:rPr>
          <w:sz w:val="21"/>
          <w:szCs w:val="21"/>
          <w:rtl w:val="0"/>
        </w:rPr>
        <w:t xml:space="preserve"> Consolidação do consumo, aplicação/isenção opcional da taxa de serviço de 10%, registros de pagamentos fracionados (N formas de pagamento) e encerramento da comanda com liberação da mesa.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Controle Financeiro e Fechamento de Turno:</w:t>
      </w:r>
      <w:r w:rsidDel="00000000" w:rsidR="00000000" w:rsidRPr="00000000">
        <w:rPr>
          <w:sz w:val="21"/>
          <w:szCs w:val="21"/>
          <w:rtl w:val="0"/>
        </w:rPr>
        <w:t xml:space="preserve"> Apuração das entradas por meio de pagamento, registro de sangrias/suprimentos, conferência de divergências de caixa e fechamento do turno.</w:t>
      </w:r>
    </w:p>
    <w:p w:rsidR="00000000" w:rsidDel="00000000" w:rsidP="00000000" w:rsidRDefault="00000000" w:rsidRPr="00000000" w14:paraId="00000070">
      <w:pPr>
        <w:spacing w:after="240" w:lineRule="auto"/>
        <w:ind w:left="720" w:firstLine="0"/>
        <w:rPr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57150" distT="57150" distL="57150" distR="57150" hidden="0" layoutInCell="1" locked="0" relativeHeight="0" simplePos="0">
            <wp:simplePos x="0" y="0"/>
            <wp:positionH relativeFrom="column">
              <wp:posOffset>-97366</wp:posOffset>
            </wp:positionH>
            <wp:positionV relativeFrom="paragraph">
              <wp:posOffset>103717</wp:posOffset>
            </wp:positionV>
            <wp:extent cx="2552700" cy="3534833"/>
            <wp:effectExtent b="0" l="0" r="0" t="0"/>
            <wp:wrapSquare wrapText="bothSides" distB="57150" distT="57150" distL="57150" distR="5715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353483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1">
      <w:pPr>
        <w:spacing w:after="240" w:lineRule="auto"/>
        <w:ind w:left="720" w:firstLine="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lineRule="auto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Evidência 01: Relatório do Fechamento de Turno do Caixa (Fita de Caixa) :</w:t>
      </w:r>
    </w:p>
    <w:p w:rsidR="00000000" w:rsidDel="00000000" w:rsidP="00000000" w:rsidRDefault="00000000" w:rsidRPr="00000000" w14:paraId="00000073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Descrição:</w:t>
      </w:r>
      <w:r w:rsidDel="00000000" w:rsidR="00000000" w:rsidRPr="00000000">
        <w:rPr>
          <w:sz w:val="24"/>
          <w:szCs w:val="24"/>
          <w:rtl w:val="0"/>
        </w:rPr>
        <w:t xml:space="preserve"> Relatório impresso de fechamento de caixa referente a um dia de movimento moderado, operado no terminal de Delivery.</w:t>
      </w:r>
    </w:p>
    <w:p w:rsidR="00000000" w:rsidDel="00000000" w:rsidP="00000000" w:rsidRDefault="00000000" w:rsidRPr="00000000" w14:paraId="00000074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Impacto no BD:</w:t>
      </w:r>
      <w:r w:rsidDel="00000000" w:rsidR="00000000" w:rsidRPr="00000000">
        <w:rPr>
          <w:sz w:val="24"/>
          <w:szCs w:val="24"/>
          <w:rtl w:val="0"/>
        </w:rPr>
        <w:t xml:space="preserve"> Demonstra a necessidade de registrar a divisão de formas de pagamento (Dinheiro, Cartão, Outros), a taxa de serviço de 10%, o fundo de reserva (R$ 150,00) e a apuração de diferenças no caixa na tabela</w:t>
      </w:r>
    </w:p>
    <w:p w:rsidR="00000000" w:rsidDel="00000000" w:rsidP="00000000" w:rsidRDefault="00000000" w:rsidRPr="00000000" w14:paraId="00000075">
      <w:pPr>
        <w:ind w:left="0" w:firstLine="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left="0" w:firstLine="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ind w:firstLine="72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firstLine="72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firstLine="72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firstLine="72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—----------------------------------------------------------</w:t>
      </w:r>
    </w:p>
    <w:p w:rsidR="00000000" w:rsidDel="00000000" w:rsidP="00000000" w:rsidRDefault="00000000" w:rsidRPr="00000000" w14:paraId="0000007B">
      <w:pPr>
        <w:ind w:firstLine="72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-112182</wp:posOffset>
            </wp:positionH>
            <wp:positionV relativeFrom="paragraph">
              <wp:posOffset>172508</wp:posOffset>
            </wp:positionV>
            <wp:extent cx="2590800" cy="3568467"/>
            <wp:effectExtent b="0" l="0" r="0" t="0"/>
            <wp:wrapSquare wrapText="bothSides" distB="114300" distT="114300" distL="114300" distR="114300"/>
            <wp:docPr id="2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356846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C">
      <w:pPr>
        <w:ind w:firstLine="72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ind w:firstLine="72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ind w:firstLine="720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Evidência 02: Lista de Compras (Controle Manual de Estoque) :</w:t>
      </w:r>
    </w:p>
    <w:p w:rsidR="00000000" w:rsidDel="00000000" w:rsidP="00000000" w:rsidRDefault="00000000" w:rsidRPr="00000000" w14:paraId="0000007F">
      <w:pPr>
        <w:ind w:firstLine="720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ind w:firstLine="72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Descrição:</w:t>
      </w:r>
      <w:r w:rsidDel="00000000" w:rsidR="00000000" w:rsidRPr="00000000">
        <w:rPr>
          <w:sz w:val="24"/>
          <w:szCs w:val="24"/>
          <w:rtl w:val="0"/>
        </w:rPr>
        <w:t xml:space="preserve"> Formulário impresso utilizado para a contagem visual e manual dos insumos em estoque.</w:t>
      </w:r>
    </w:p>
    <w:p w:rsidR="00000000" w:rsidDel="00000000" w:rsidP="00000000" w:rsidRDefault="00000000" w:rsidRPr="00000000" w14:paraId="00000081">
      <w:pPr>
        <w:ind w:firstLine="72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Impacto no BD:</w:t>
      </w:r>
      <w:r w:rsidDel="00000000" w:rsidR="00000000" w:rsidRPr="00000000">
        <w:rPr>
          <w:sz w:val="24"/>
          <w:szCs w:val="24"/>
          <w:rtl w:val="0"/>
        </w:rPr>
        <w:t xml:space="preserve"> Comprova a ausência de baixa automática de materiais no ato da venda, justificando a criação das tabelas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Ficha Técnica</w:t>
      </w:r>
      <w:r w:rsidDel="00000000" w:rsidR="00000000" w:rsidRPr="00000000">
        <w:rPr>
          <w:sz w:val="24"/>
          <w:szCs w:val="24"/>
          <w:rtl w:val="0"/>
        </w:rPr>
        <w:t xml:space="preserve"> e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Ingredientes</w:t>
      </w:r>
      <w:r w:rsidDel="00000000" w:rsidR="00000000" w:rsidRPr="00000000">
        <w:rPr>
          <w:sz w:val="24"/>
          <w:szCs w:val="24"/>
          <w:rtl w:val="0"/>
        </w:rPr>
        <w:t xml:space="preserve"> para automatizar o controle de estoque.</w:t>
      </w:r>
    </w:p>
    <w:p w:rsidR="00000000" w:rsidDel="00000000" w:rsidP="00000000" w:rsidRDefault="00000000" w:rsidRPr="00000000" w14:paraId="00000082">
      <w:pPr>
        <w:ind w:firstLine="72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left="0" w:firstLine="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ind w:firstLine="72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ind w:firstLine="72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ind w:firstLine="72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ind w:firstLine="72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ind w:left="0" w:firstLine="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-95249</wp:posOffset>
            </wp:positionH>
            <wp:positionV relativeFrom="paragraph">
              <wp:posOffset>161925</wp:posOffset>
            </wp:positionV>
            <wp:extent cx="2535767" cy="3686175"/>
            <wp:effectExtent b="0" l="0" r="0" t="0"/>
            <wp:wrapSquare wrapText="bothSides" distB="114300" distT="114300" distL="114300" distR="114300"/>
            <wp:docPr id="5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35767" cy="36861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9">
      <w:pPr>
        <w:ind w:firstLine="72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ind w:firstLine="72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ind w:firstLine="72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ind w:firstLine="72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ind w:firstLine="72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ind w:firstLine="72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ind w:firstLine="72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ind w:firstLine="72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ind w:firstLine="72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Evidência 03: Cardápio Impresso (Cardápio Físico e Estrutura de Produtos)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3">
      <w:pPr>
        <w:ind w:firstLine="72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ind w:firstLine="72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ind w:firstLine="72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ind w:firstLine="72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ind w:firstLine="72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ind w:left="3600" w:firstLine="72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Descrição:</w:t>
      </w:r>
      <w:r w:rsidDel="00000000" w:rsidR="00000000" w:rsidRPr="00000000">
        <w:rPr>
          <w:sz w:val="24"/>
          <w:szCs w:val="24"/>
          <w:rtl w:val="0"/>
        </w:rPr>
        <w:t xml:space="preserve"> Foto do cardápio físico da hamburgueria exibindo a categorização de produtos (Lanches, Extras, Bebidas), preços base e opções de combos.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-124882</wp:posOffset>
            </wp:positionH>
            <wp:positionV relativeFrom="paragraph">
              <wp:posOffset>604308</wp:posOffset>
            </wp:positionV>
            <wp:extent cx="2571750" cy="3689480"/>
            <wp:effectExtent b="0" l="0" r="0" t="0"/>
            <wp:wrapSquare wrapText="bothSides" distB="114300" distT="114300" distL="114300" distR="114300"/>
            <wp:docPr id="6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36894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9">
      <w:pPr>
        <w:ind w:firstLine="72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Impacto no BD:</w:t>
      </w:r>
      <w:r w:rsidDel="00000000" w:rsidR="00000000" w:rsidRPr="00000000">
        <w:rPr>
          <w:sz w:val="24"/>
          <w:szCs w:val="24"/>
          <w:rtl w:val="0"/>
        </w:rPr>
        <w:t xml:space="preserve"> Demonstra a necessidade da tabela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Menu</w:t>
      </w:r>
      <w:r w:rsidDel="00000000" w:rsidR="00000000" w:rsidRPr="00000000">
        <w:rPr>
          <w:sz w:val="24"/>
          <w:szCs w:val="24"/>
          <w:rtl w:val="0"/>
        </w:rPr>
        <w:t xml:space="preserve"> para estruturar os produtos por categoria e preço base, servindo de origem para o lançamento de itens na tabela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Pedido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A">
      <w:pPr>
        <w:ind w:firstLine="72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ind w:firstLine="72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ind w:firstLine="72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ind w:firstLine="72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ind w:firstLine="72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ind w:firstLine="72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ind w:firstLine="72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ind w:firstLine="72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ind w:firstLine="72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 **Fluxogramas:** *represente visualmente pelo menos os processos-chave (imagens anexadas). Deve ficar claro o fluxo de cada processo e como eles se integram entre si.*</w:t>
      </w:r>
    </w:p>
    <w:p w:rsidR="00000000" w:rsidDel="00000000" w:rsidP="00000000" w:rsidRDefault="00000000" w:rsidRPr="00000000" w14:paraId="000000A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—------------------------------------------------------------------------</w:t>
      </w:r>
    </w:p>
    <w:p w:rsidR="00000000" w:rsidDel="00000000" w:rsidP="00000000" w:rsidRDefault="00000000" w:rsidRPr="00000000" w14:paraId="000000A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Requisitos do Sistema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A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## 3. Requisitos do Sistema</w:t>
      </w:r>
    </w:p>
    <w:p w:rsidR="00000000" w:rsidDel="00000000" w:rsidP="00000000" w:rsidRDefault="00000000" w:rsidRPr="00000000" w14:paraId="000000A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*(esta seção e a Seção 4 "Regras de Negócio" DIVIDEM 7,5% na dimensão conceitual — juntas valem 7,5%, não 7,5% cada — + 4% exclusivos desta seção na organização/documentação)*</w:t>
      </w:r>
    </w:p>
    <w:p w:rsidR="00000000" w:rsidDel="00000000" w:rsidP="00000000" w:rsidRDefault="00000000" w:rsidRPr="00000000" w14:paraId="000000A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### 3.1 Requisitos Funcionais</w:t>
      </w:r>
    </w:p>
    <w:p w:rsidR="00000000" w:rsidDel="00000000" w:rsidP="00000000" w:rsidRDefault="00000000" w:rsidRPr="00000000" w14:paraId="000000A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*O que o sistema precisa FAZER (ex.: "o sistema deve permitir registrar uma venda").*</w:t>
      </w:r>
    </w:p>
    <w:p w:rsidR="00000000" w:rsidDel="00000000" w:rsidP="00000000" w:rsidRDefault="00000000" w:rsidRPr="00000000" w14:paraId="000000A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### 3.2 Requisitos Não Funcionais</w:t>
      </w:r>
    </w:p>
    <w:p w:rsidR="00000000" w:rsidDel="00000000" w:rsidP="00000000" w:rsidRDefault="00000000" w:rsidRPr="00000000" w14:paraId="000000B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*Características de qualidade (ex.: desempenho, segurança, usabilidade, disponibilidade).*</w:t>
      </w:r>
    </w:p>
    <w:p w:rsidR="00000000" w:rsidDel="00000000" w:rsidP="00000000" w:rsidRDefault="00000000" w:rsidRPr="00000000" w14:paraId="000000B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—------------------------------------------------------------------</w:t>
      </w:r>
    </w:p>
    <w:p w:rsidR="00000000" w:rsidDel="00000000" w:rsidP="00000000" w:rsidRDefault="00000000" w:rsidRPr="00000000" w14:paraId="000000B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## 4. Regras de Negócio</w:t>
      </w:r>
    </w:p>
    <w:p w:rsidR="00000000" w:rsidDel="00000000" w:rsidP="00000000" w:rsidRDefault="00000000" w:rsidRPr="00000000" w14:paraId="000000B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*(esta seção DIVIDE com a Seção 3 "Requisitos do Sistema" os mesmos 7,5% da dimensão conceitual — juntas valem 7,5%, não 7,5% cada — + 4% exclusivos desta seção na documentação. "Regras de negócio" é o termo técnico usado em modelagem de dados para as regras de funcionamento de qualquer organização, com ou sem fins lucrativos)*</w:t>
      </w:r>
    </w:p>
    <w:p w:rsidR="00000000" w:rsidDel="00000000" w:rsidP="00000000" w:rsidRDefault="00000000" w:rsidRPr="00000000" w14:paraId="000000B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 **Regras operacionais:** *condições que a organização impõe (ex.: "um pedido só pode ser fechado se houver estoque disponível", "uma doação só pode ser registrada com identificação do doador", "um ritual só pode ser agendado se o espaço estiver disponível").*</w:t>
      </w:r>
    </w:p>
    <w:p w:rsidR="00000000" w:rsidDel="00000000" w:rsidP="00000000" w:rsidRDefault="00000000" w:rsidRPr="00000000" w14:paraId="000000B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 **Restrições organizacionais:** *limitações que afetam o modelo (ex.: políticas internas, prazos, exigências legais, normas religiosas ou estatutárias) — e por que elas importam.*</w:t>
      </w:r>
    </w:p>
    <w:p w:rsidR="00000000" w:rsidDel="00000000" w:rsidP="00000000" w:rsidRDefault="00000000" w:rsidRPr="00000000" w14:paraId="000000B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0B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## 5. Dicionário de Dados Conceitual (Preliminar)</w:t>
      </w:r>
    </w:p>
    <w:p w:rsidR="00000000" w:rsidDel="00000000" w:rsidP="00000000" w:rsidRDefault="00000000" w:rsidRPr="00000000" w14:paraId="000000B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*(vale 10% — Dimensão Procedimental)*</w:t>
      </w:r>
    </w:p>
    <w:p w:rsidR="00000000" w:rsidDel="00000000" w:rsidP="00000000" w:rsidRDefault="00000000" w:rsidRPr="00000000" w14:paraId="000000B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Para cada entidade identificada, liste:</w:t>
      </w:r>
    </w:p>
    <w:p w:rsidR="00000000" w:rsidDel="00000000" w:rsidP="00000000" w:rsidRDefault="00000000" w:rsidRPr="00000000" w14:paraId="000000C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| Atributo | Descrição | Regra de negócio associada |</w:t>
      </w:r>
    </w:p>
    <w:p w:rsidR="00000000" w:rsidDel="00000000" w:rsidP="00000000" w:rsidRDefault="00000000" w:rsidRPr="00000000" w14:paraId="000000C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|----------|-----------|------------------------------|</w:t>
      </w:r>
    </w:p>
    <w:p w:rsidR="00000000" w:rsidDel="00000000" w:rsidP="00000000" w:rsidRDefault="00000000" w:rsidRPr="00000000" w14:paraId="000000C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| *nome do atributo* | *o que ele representa* | *se houver alguma regra (obrigatoriedade, valores possíveis, etc.)* |</w:t>
      </w:r>
    </w:p>
    <w:p w:rsidR="00000000" w:rsidDel="00000000" w:rsidP="00000000" w:rsidRDefault="00000000" w:rsidRPr="00000000" w14:paraId="000000C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*Mantenha o dicionário organizado e padronizado (mesmo formato de tabela para todas as entidades).*</w:t>
      </w:r>
    </w:p>
    <w:p w:rsidR="00000000" w:rsidDel="00000000" w:rsidP="00000000" w:rsidRDefault="00000000" w:rsidRPr="00000000" w14:paraId="000000C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**Atenção à privacidade:** se forem usados exemplos de valores para ilustrar os atributos, esses exemplos devem ser **fictícios** — não utilize dados reais de clientes, fiéis, beneficiários, doadores ou funcionários da organização (nomes, CPFs, contatos etc.), mesmo que tenham sido observados durante a pesquisa de campo. Os exemplos devem apenas ser **coerentes com as operações reais** observadas.</w:t>
      </w:r>
    </w:p>
    <w:p w:rsidR="00000000" w:rsidDel="00000000" w:rsidP="00000000" w:rsidRDefault="00000000" w:rsidRPr="00000000" w14:paraId="000000C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Modelagem Conceitual (Entidades, Atributos, Relacionamentos)</w:t>
      </w:r>
    </w:p>
    <w:p w:rsidR="00000000" w:rsidDel="00000000" w:rsidP="00000000" w:rsidRDefault="00000000" w:rsidRPr="00000000" w14:paraId="000000C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</w:rPr>
        <w:drawing>
          <wp:inline distB="114300" distT="114300" distL="114300" distR="114300">
            <wp:extent cx="5443538" cy="4318191"/>
            <wp:effectExtent b="0" l="0" r="0" t="0"/>
            <wp:docPr id="4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43538" cy="43181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Diagrama Entidade-Relacionamento (DER)</w:t>
      </w:r>
    </w:p>
    <w:p w:rsidR="00000000" w:rsidDel="00000000" w:rsidP="00000000" w:rsidRDefault="00000000" w:rsidRPr="00000000" w14:paraId="000000D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</w:rPr>
        <w:drawing>
          <wp:inline distB="114300" distT="114300" distL="114300" distR="114300">
            <wp:extent cx="5943600" cy="3109538"/>
            <wp:effectExtent b="0" l="0" r="0" t="0"/>
            <wp:docPr id="3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95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## 8. Justificativa Técnica</w:t>
      </w:r>
    </w:p>
    <w:p w:rsidR="00000000" w:rsidDel="00000000" w:rsidP="00000000" w:rsidRDefault="00000000" w:rsidRPr="00000000" w14:paraId="000000D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*(vale 7,5% — sozinho, é o subcritério de maior peso dentro da Dimensão Conceitual)*</w:t>
      </w:r>
    </w:p>
    <w:p w:rsidR="00000000" w:rsidDel="00000000" w:rsidP="00000000" w:rsidRDefault="00000000" w:rsidRPr="00000000" w14:paraId="000000D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*Explique e defenda as decisões de abstração e modelagem tomadas: por que essas entidades, esses atributos, esses relacionamentos e essas cardinalidades — e não outras alternativas possíveis?*</w:t>
      </w:r>
    </w:p>
    <w:p w:rsidR="00000000" w:rsidDel="00000000" w:rsidP="00000000" w:rsidRDefault="00000000" w:rsidRPr="00000000" w14:paraId="000000D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0D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## 9. Uso de Inteligência Artificial</w:t>
      </w:r>
    </w:p>
    <w:p w:rsidR="00000000" w:rsidDel="00000000" w:rsidP="00000000" w:rsidRDefault="00000000" w:rsidRPr="00000000" w14:paraId="000000D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*(documentação obrigatória — não é opcional se o grupo usou IA em qualquer etapa: pesquisa, escrita, organização de ideias ou revisão de texto)*</w:t>
      </w:r>
    </w:p>
    <w:p w:rsidR="00000000" w:rsidDel="00000000" w:rsidP="00000000" w:rsidRDefault="00000000" w:rsidRPr="00000000" w14:paraId="000000D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Se o grupo usou alguma ferramenta de IA (ChatGPT, Claude, Gemini, Perplexity etc.) em qualquer parte do trabalho, registre **para cada uso relevante**: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jpg"/><Relationship Id="rId10" Type="http://schemas.openxmlformats.org/officeDocument/2006/relationships/image" Target="media/image4.jpg"/><Relationship Id="rId13" Type="http://schemas.openxmlformats.org/officeDocument/2006/relationships/image" Target="media/image6.jpg"/><Relationship Id="rId12" Type="http://schemas.openxmlformats.org/officeDocument/2006/relationships/image" Target="media/image3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jpg"/><Relationship Id="rId14" Type="http://schemas.openxmlformats.org/officeDocument/2006/relationships/image" Target="media/image5.jpg"/><Relationship Id="rId5" Type="http://schemas.openxmlformats.org/officeDocument/2006/relationships/styles" Target="styles.xml"/><Relationship Id="rId6" Type="http://schemas.openxmlformats.org/officeDocument/2006/relationships/hyperlink" Target="https://cnpj.biz/empresas/estado/SP" TargetMode="External"/><Relationship Id="rId7" Type="http://schemas.openxmlformats.org/officeDocument/2006/relationships/hyperlink" Target="https://maps.app.goo.gl/tbeaWRYgZ4ftwdSMA" TargetMode="External"/><Relationship Id="rId8" Type="http://schemas.openxmlformats.org/officeDocument/2006/relationships/hyperlink" Target="https://www.instagram.com/montararatburger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