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hint="eastAsia" w:ascii="宋体" w:eastAsia="宋体" w:cs="宋体"/>
          <w:b/>
          <w:bCs/>
          <w:sz w:val="23"/>
          <w:szCs w:val="23"/>
        </w:rPr>
      </w:pPr>
      <w:r>
        <w:rPr>
          <w:rFonts w:hint="eastAsia" w:ascii="宋体" w:eastAsia="宋体" w:cs="宋体"/>
          <w:b/>
          <w:bCs/>
          <w:sz w:val="23"/>
          <w:szCs w:val="23"/>
        </w:rPr>
        <w:t>仪器具体的规格、尺寸、重量等；</w:t>
      </w:r>
    </w:p>
    <w:tbl>
      <w:tblPr>
        <w:tblStyle w:val="3"/>
        <w:tblW w:w="8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2045"/>
        <w:gridCol w:w="204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1" w:hRule="atLeast"/>
        </w:trPr>
        <w:tc>
          <w:tcPr>
            <w:tcW w:w="2045" w:type="dxa"/>
          </w:tcPr>
          <w:p>
            <w:pPr>
              <w:pStyle w:val="5"/>
              <w:numPr>
                <w:ilvl w:val="0"/>
                <w:numId w:val="0"/>
              </w:numP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r>
              <w:rPr>
                <w:rFonts w:hint="eastAsia" w:eastAsia="宋体"/>
                <w:sz w:val="23"/>
                <w:szCs w:val="23"/>
                <w:vertAlign w:val="baseline"/>
                <w:lang w:val="en-US" w:eastAsia="zh-CN"/>
              </w:rPr>
              <w:t>规格</w:t>
            </w:r>
          </w:p>
        </w:tc>
        <w:tc>
          <w:tcPr>
            <w:tcW w:w="2045" w:type="dxa"/>
          </w:tcPr>
          <w:p>
            <w:pPr>
              <w:pStyle w:val="5"/>
              <w:numPr>
                <w:ilvl w:val="0"/>
                <w:numId w:val="0"/>
              </w:numPr>
              <w:jc w:val="center"/>
              <w:rPr>
                <w:rFonts w:hint="default" w:eastAsia="宋体"/>
                <w:sz w:val="23"/>
                <w:szCs w:val="23"/>
                <w:vertAlign w:val="baseline"/>
                <w:lang w:val="en-US" w:eastAsia="zh-CN"/>
              </w:rPr>
            </w:pPr>
            <w:r>
              <w:rPr>
                <w:rFonts w:hint="eastAsia" w:eastAsia="宋体"/>
                <w:sz w:val="23"/>
                <w:szCs w:val="23"/>
                <w:vertAlign w:val="baseline"/>
                <w:lang w:val="en-US" w:eastAsia="zh-CN"/>
              </w:rPr>
              <w:t>尺寸(mm)</w:t>
            </w:r>
          </w:p>
        </w:tc>
        <w:tc>
          <w:tcPr>
            <w:tcW w:w="2045" w:type="dxa"/>
          </w:tcPr>
          <w:p>
            <w:pPr>
              <w:pStyle w:val="5"/>
              <w:numPr>
                <w:ilvl w:val="0"/>
                <w:numId w:val="0"/>
              </w:numPr>
              <w:jc w:val="center"/>
              <w:rPr>
                <w:rFonts w:hint="default" w:eastAsia="宋体"/>
                <w:sz w:val="23"/>
                <w:szCs w:val="23"/>
                <w:vertAlign w:val="baseline"/>
                <w:lang w:val="en-US" w:eastAsia="zh-CN"/>
              </w:rPr>
            </w:pPr>
            <w:r>
              <w:rPr>
                <w:rFonts w:hint="eastAsia" w:eastAsia="宋体"/>
                <w:sz w:val="23"/>
                <w:szCs w:val="23"/>
                <w:vertAlign w:val="baseline"/>
                <w:lang w:val="en-US" w:eastAsia="zh-CN"/>
              </w:rPr>
              <w:t>重量(g)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单片机</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1"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万用线路板</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电阻</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引线</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开关</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激光测距模块</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水缸</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trPr>
        <w:tc>
          <w:tcPr>
            <w:tcW w:w="2045" w:type="dxa"/>
          </w:tcPr>
          <w:p>
            <w:pPr>
              <w:pStyle w:val="5"/>
              <w:numPr>
                <w:ilvl w:val="0"/>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遮光板</w:t>
            </w: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c>
          <w:tcPr>
            <w:tcW w:w="2045" w:type="dxa"/>
          </w:tcPr>
          <w:p>
            <w:pPr>
              <w:pStyle w:val="5"/>
              <w:numPr>
                <w:ilvl w:val="0"/>
                <w:numId w:val="0"/>
              </w:numPr>
              <w:jc w:val="center"/>
              <w:rPr>
                <w:rFonts w:hint="default" w:eastAsia="宋体"/>
                <w:sz w:val="23"/>
                <w:szCs w:val="23"/>
                <w:vertAlign w:val="baseline"/>
                <w:lang w:val="en-US" w:eastAsia="zh-CN"/>
              </w:rPr>
            </w:pPr>
          </w:p>
        </w:tc>
      </w:tr>
    </w:tbl>
    <w:p>
      <w:pPr>
        <w:pStyle w:val="5"/>
        <w:numPr>
          <w:ilvl w:val="0"/>
          <w:numId w:val="1"/>
        </w:numPr>
        <w:ind w:left="0" w:leftChars="0" w:firstLine="0" w:firstLineChars="0"/>
        <w:rPr>
          <w:rFonts w:hint="eastAsia" w:eastAsia="宋体"/>
          <w:sz w:val="23"/>
          <w:szCs w:val="23"/>
          <w:lang w:val="en-US" w:eastAsia="zh-CN"/>
        </w:rPr>
      </w:pPr>
      <w:r>
        <w:rPr>
          <w:rFonts w:hint="eastAsia" w:eastAsia="宋体"/>
          <w:b/>
          <w:bCs/>
          <w:sz w:val="23"/>
          <w:szCs w:val="23"/>
          <w:lang w:val="en-US" w:eastAsia="zh-CN"/>
        </w:rPr>
        <w:t>仪器成本</w:t>
      </w:r>
    </w:p>
    <w:tbl>
      <w:tblPr>
        <w:tblStyle w:val="3"/>
        <w:tblW w:w="8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26"/>
        <w:gridCol w:w="2726"/>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2726" w:type="dxa"/>
          </w:tcPr>
          <w:p>
            <w:pPr>
              <w:pStyle w:val="5"/>
              <w:numPr>
                <w:numId w:val="0"/>
              </w:numP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r>
              <w:rPr>
                <w:rFonts w:hint="eastAsia" w:eastAsia="宋体"/>
                <w:sz w:val="23"/>
                <w:szCs w:val="23"/>
                <w:vertAlign w:val="baseline"/>
                <w:lang w:val="en-US" w:eastAsia="zh-CN"/>
              </w:rPr>
              <w:t>单价（元）</w:t>
            </w:r>
          </w:p>
        </w:tc>
        <w:tc>
          <w:tcPr>
            <w:tcW w:w="2726" w:type="dxa"/>
          </w:tcPr>
          <w:p>
            <w:pPr>
              <w:pStyle w:val="5"/>
              <w:numPr>
                <w:numId w:val="0"/>
              </w:numPr>
              <w:jc w:val="center"/>
              <w:rPr>
                <w:rFonts w:hint="default" w:eastAsia="宋体"/>
                <w:sz w:val="23"/>
                <w:szCs w:val="23"/>
                <w:vertAlign w:val="baseline"/>
                <w:lang w:val="en-US" w:eastAsia="zh-CN"/>
              </w:rPr>
            </w:pPr>
            <w:r>
              <w:rPr>
                <w:rFonts w:hint="eastAsia" w:eastAsia="宋体"/>
                <w:sz w:val="23"/>
                <w:szCs w:val="23"/>
                <w:vertAlign w:val="baseline"/>
                <w:lang w:val="en-US" w:eastAsia="zh-CN"/>
              </w:rPr>
              <w:t>总价(元)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单片机</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万用线路板</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电阻</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8"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引线</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开关</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2726" w:type="dxa"/>
          </w:tcPr>
          <w:p>
            <w:pPr>
              <w:pStyle w:val="5"/>
              <w:numPr>
                <w:numId w:val="0"/>
              </w:numPr>
              <w:rPr>
                <w:rFonts w:hint="eastAsia" w:eastAsia="宋体"/>
                <w:sz w:val="23"/>
                <w:szCs w:val="23"/>
                <w:vertAlign w:val="baseline"/>
                <w:lang w:val="en-US" w:eastAsia="zh-CN"/>
              </w:rPr>
            </w:pPr>
            <w:r>
              <w:rPr>
                <w:rFonts w:hint="eastAsia" w:eastAsia="宋体"/>
                <w:sz w:val="23"/>
                <w:szCs w:val="23"/>
                <w:vertAlign w:val="baseline"/>
                <w:lang w:val="en-US" w:eastAsia="zh-CN"/>
              </w:rPr>
              <w:t>激光测距模块</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水缸</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遮光板</w:t>
            </w:r>
          </w:p>
        </w:tc>
        <w:tc>
          <w:tcPr>
            <w:tcW w:w="2726" w:type="dxa"/>
          </w:tcPr>
          <w:p>
            <w:pPr>
              <w:pStyle w:val="5"/>
              <w:numPr>
                <w:numId w:val="0"/>
              </w:numPr>
              <w:jc w:val="center"/>
              <w:rPr>
                <w:rFonts w:hint="default" w:eastAsia="宋体"/>
                <w:sz w:val="23"/>
                <w:szCs w:val="23"/>
                <w:vertAlign w:val="baseline"/>
                <w:lang w:val="en-US" w:eastAsia="zh-CN"/>
              </w:rPr>
            </w:pPr>
          </w:p>
        </w:tc>
        <w:tc>
          <w:tcPr>
            <w:tcW w:w="2726" w:type="dxa"/>
          </w:tcPr>
          <w:p>
            <w:pPr>
              <w:pStyle w:val="5"/>
              <w:numPr>
                <w:numId w:val="0"/>
              </w:numPr>
              <w:jc w:val="center"/>
              <w:rPr>
                <w:rFonts w:hint="default" w:eastAsia="宋体"/>
                <w:sz w:val="23"/>
                <w:szCs w:val="2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8" w:hRule="atLeast"/>
        </w:trPr>
        <w:tc>
          <w:tcPr>
            <w:tcW w:w="2726" w:type="dxa"/>
          </w:tcPr>
          <w:p>
            <w:pPr>
              <w:pStyle w:val="5"/>
              <w:numPr>
                <w:numId w:val="0"/>
              </w:numPr>
              <w:rPr>
                <w:rFonts w:hint="default" w:eastAsia="宋体"/>
                <w:sz w:val="23"/>
                <w:szCs w:val="23"/>
                <w:vertAlign w:val="baseline"/>
                <w:lang w:val="en-US" w:eastAsia="zh-CN"/>
              </w:rPr>
            </w:pPr>
            <w:r>
              <w:rPr>
                <w:rFonts w:hint="eastAsia" w:eastAsia="宋体"/>
                <w:sz w:val="23"/>
                <w:szCs w:val="23"/>
                <w:vertAlign w:val="baseline"/>
                <w:lang w:val="en-US" w:eastAsia="zh-CN"/>
              </w:rPr>
              <w:t>总价</w:t>
            </w:r>
          </w:p>
        </w:tc>
        <w:tc>
          <w:tcPr>
            <w:tcW w:w="5452" w:type="dxa"/>
            <w:gridSpan w:val="2"/>
          </w:tcPr>
          <w:p>
            <w:pPr>
              <w:pStyle w:val="5"/>
              <w:numPr>
                <w:numId w:val="0"/>
              </w:numPr>
              <w:jc w:val="center"/>
              <w:rPr>
                <w:rFonts w:hint="default" w:eastAsia="宋体"/>
                <w:sz w:val="23"/>
                <w:szCs w:val="23"/>
                <w:vertAlign w:val="baseline"/>
                <w:lang w:val="en-US" w:eastAsia="zh-CN"/>
              </w:rPr>
            </w:pPr>
            <w:bookmarkStart w:id="0" w:name="_GoBack"/>
            <w:bookmarkEnd w:id="0"/>
          </w:p>
        </w:tc>
      </w:tr>
    </w:tbl>
    <w:p/>
    <w:p>
      <w:pPr>
        <w:pStyle w:val="5"/>
        <w:numPr>
          <w:numId w:val="0"/>
        </w:numPr>
        <w:rPr>
          <w:rFonts w:hint="default" w:eastAsia="宋体"/>
          <w:sz w:val="23"/>
          <w:szCs w:val="23"/>
          <w:lang w:val="en-US" w:eastAsia="zh-CN"/>
        </w:rPr>
      </w:pPr>
    </w:p>
    <w:p>
      <w:pPr>
        <w:numPr>
          <w:numId w:val="0"/>
        </w:numPr>
        <w:rPr>
          <w:rFonts w:hint="eastAsia" w:ascii="宋体" w:eastAsia="宋体" w:cs="宋体"/>
          <w:b/>
          <w:bCs/>
          <w:sz w:val="23"/>
          <w:szCs w:val="23"/>
        </w:rPr>
      </w:pPr>
      <w:r>
        <w:rPr>
          <w:rFonts w:hint="eastAsia" w:ascii="宋体" w:eastAsia="宋体" w:cs="宋体"/>
          <w:b/>
          <w:bCs/>
          <w:sz w:val="23"/>
          <w:szCs w:val="23"/>
          <w:lang w:val="en-US" w:eastAsia="zh-CN"/>
        </w:rPr>
        <w:t>c)</w:t>
      </w:r>
      <w:r>
        <w:rPr>
          <w:rFonts w:hint="eastAsia" w:ascii="宋体" w:eastAsia="宋体" w:cs="宋体"/>
          <w:b/>
          <w:bCs/>
          <w:sz w:val="23"/>
          <w:szCs w:val="23"/>
        </w:rPr>
        <w:t>仪器的使用方法说明</w:t>
      </w:r>
    </w:p>
    <w:p>
      <w:pPr>
        <w:numPr>
          <w:ilvl w:val="0"/>
          <w:numId w:val="2"/>
        </w:numPr>
        <w:ind w:leftChars="0"/>
        <w:rPr>
          <w:rFonts w:hint="eastAsia" w:ascii="宋体" w:eastAsia="宋体" w:cs="宋体"/>
          <w:sz w:val="23"/>
          <w:szCs w:val="23"/>
          <w:lang w:val="en-US" w:eastAsia="zh-CN"/>
        </w:rPr>
      </w:pPr>
      <w:r>
        <w:rPr>
          <w:rFonts w:hint="eastAsia" w:ascii="宋体" w:eastAsia="宋体" w:cs="宋体"/>
          <w:sz w:val="23"/>
          <w:szCs w:val="23"/>
          <w:lang w:val="en-US" w:eastAsia="zh-CN"/>
        </w:rPr>
        <w:t>使用前检查仪器运行是否正常，线路连接是否松动</w:t>
      </w:r>
    </w:p>
    <w:p>
      <w:pPr>
        <w:numPr>
          <w:ilvl w:val="0"/>
          <w:numId w:val="2"/>
        </w:numPr>
        <w:ind w:leftChars="0"/>
        <w:rPr>
          <w:rFonts w:hint="default" w:ascii="宋体" w:eastAsia="宋体" w:cs="宋体"/>
          <w:sz w:val="23"/>
          <w:szCs w:val="23"/>
          <w:lang w:val="en-US" w:eastAsia="zh-CN"/>
        </w:rPr>
      </w:pPr>
      <w:r>
        <w:rPr>
          <w:rFonts w:hint="eastAsia" w:ascii="宋体" w:eastAsia="宋体" w:cs="宋体"/>
          <w:sz w:val="23"/>
          <w:szCs w:val="23"/>
          <w:lang w:val="en-US" w:eastAsia="zh-CN"/>
        </w:rPr>
        <w:t>将配套程序导入软件中，运行程序，等待进入程序运行窗口</w:t>
      </w:r>
    </w:p>
    <w:p>
      <w:pPr>
        <w:numPr>
          <w:ilvl w:val="0"/>
          <w:numId w:val="2"/>
        </w:numPr>
        <w:ind w:leftChars="0"/>
        <w:rPr>
          <w:rFonts w:hint="default" w:ascii="宋体" w:eastAsia="宋体" w:cs="宋体"/>
          <w:sz w:val="23"/>
          <w:szCs w:val="23"/>
          <w:lang w:val="en-US" w:eastAsia="zh-CN"/>
        </w:rPr>
      </w:pPr>
      <w:r>
        <w:rPr>
          <w:rFonts w:hint="eastAsia" w:ascii="宋体" w:eastAsia="宋体" w:cs="宋体"/>
          <w:sz w:val="23"/>
          <w:szCs w:val="23"/>
          <w:lang w:val="en-US" w:eastAsia="zh-CN"/>
        </w:rPr>
        <w:t>调整激光测距模块，将激光测距模块对准空气并紧贴水缸外壁，目的是使激光测距模块发射的光尽量与遮光板垂直</w:t>
      </w:r>
    </w:p>
    <w:p>
      <w:pPr>
        <w:numPr>
          <w:ilvl w:val="0"/>
          <w:numId w:val="2"/>
        </w:numPr>
        <w:ind w:leftChars="0"/>
        <w:rPr>
          <w:rFonts w:hint="default" w:ascii="宋体" w:eastAsia="宋体" w:cs="宋体"/>
          <w:sz w:val="23"/>
          <w:szCs w:val="23"/>
          <w:lang w:val="en-US" w:eastAsia="zh-CN"/>
        </w:rPr>
      </w:pPr>
      <w:r>
        <w:rPr>
          <w:rFonts w:hint="eastAsia" w:ascii="宋体" w:eastAsia="宋体" w:cs="宋体"/>
          <w:sz w:val="23"/>
          <w:szCs w:val="23"/>
          <w:lang w:val="en-US" w:eastAsia="zh-CN"/>
        </w:rPr>
        <w:t>按下开关，此时程序运行窗口会自动记录光在空气中的光程</w:t>
      </w:r>
    </w:p>
    <w:p>
      <w:pPr>
        <w:numPr>
          <w:ilvl w:val="0"/>
          <w:numId w:val="2"/>
        </w:numPr>
        <w:ind w:leftChars="0"/>
        <w:rPr>
          <w:rFonts w:hint="default" w:ascii="宋体" w:eastAsia="宋体" w:cs="宋体"/>
          <w:sz w:val="23"/>
          <w:szCs w:val="23"/>
          <w:lang w:val="en-US" w:eastAsia="zh-CN"/>
        </w:rPr>
      </w:pPr>
      <w:r>
        <w:rPr>
          <w:rFonts w:hint="eastAsia" w:ascii="宋体" w:eastAsia="宋体" w:cs="宋体"/>
          <w:sz w:val="23"/>
          <w:szCs w:val="23"/>
          <w:lang w:val="en-US" w:eastAsia="zh-CN"/>
        </w:rPr>
        <w:t>重新调整激光测距模块，将激光测距模块对准待测液体并紧贴水缸外壁，目的是使激光测距模块发射的光尽量与遮光板垂直并使前后两次测量镜头保持在同一平面</w:t>
      </w:r>
    </w:p>
    <w:p>
      <w:pPr>
        <w:numPr>
          <w:ilvl w:val="0"/>
          <w:numId w:val="2"/>
        </w:numPr>
        <w:ind w:leftChars="0"/>
        <w:rPr>
          <w:rFonts w:hint="default" w:ascii="宋体" w:eastAsia="宋体" w:cs="宋体"/>
          <w:sz w:val="23"/>
          <w:szCs w:val="23"/>
          <w:lang w:val="en-US" w:eastAsia="zh-CN"/>
        </w:rPr>
      </w:pPr>
      <w:r>
        <w:rPr>
          <w:rFonts w:hint="eastAsia" w:ascii="宋体" w:eastAsia="宋体" w:cs="宋体"/>
          <w:sz w:val="23"/>
          <w:szCs w:val="23"/>
          <w:lang w:val="en-US" w:eastAsia="zh-CN"/>
        </w:rPr>
        <w:t>再次按下开关，此时程序会自动记录光在待测液体中的光程，并自动计算出光在待测液体中的折射率</w:t>
      </w:r>
    </w:p>
    <w:p>
      <w:pPr>
        <w:numPr>
          <w:ilvl w:val="0"/>
          <w:numId w:val="2"/>
        </w:numPr>
        <w:ind w:leftChars="0"/>
        <w:rPr>
          <w:rFonts w:hint="default" w:ascii="宋体" w:eastAsia="宋体" w:cs="宋体"/>
          <w:sz w:val="23"/>
          <w:szCs w:val="23"/>
          <w:lang w:val="en-US" w:eastAsia="zh-CN"/>
        </w:rPr>
      </w:pPr>
      <w:r>
        <w:rPr>
          <w:rFonts w:hint="eastAsia" w:ascii="宋体" w:eastAsia="宋体" w:cs="宋体"/>
          <w:sz w:val="23"/>
          <w:szCs w:val="23"/>
          <w:lang w:val="en-US" w:eastAsia="zh-CN"/>
        </w:rPr>
        <w:t>多次重复以上步骤并记录数据，然后对所得数据进行处理</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670A86"/>
    <w:multiLevelType w:val="singleLevel"/>
    <w:tmpl w:val="57670A86"/>
    <w:lvl w:ilvl="0" w:tentative="0">
      <w:start w:val="1"/>
      <w:numFmt w:val="lowerLetter"/>
      <w:suff w:val="space"/>
      <w:lvlText w:val="%1)"/>
      <w:lvlJc w:val="left"/>
    </w:lvl>
  </w:abstractNum>
  <w:abstractNum w:abstractNumId="1">
    <w:nsid w:val="6D1C9B8D"/>
    <w:multiLevelType w:val="singleLevel"/>
    <w:tmpl w:val="6D1C9B8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mMjNmMTFkOTM4YmY5Mzc1ZmYwODhiYjNjODQ3N2QifQ=="/>
  </w:docVars>
  <w:rsids>
    <w:rsidRoot w:val="002B2DC6"/>
    <w:rsid w:val="002B2DC6"/>
    <w:rsid w:val="00953689"/>
    <w:rsid w:val="00A55000"/>
    <w:rsid w:val="00C8496B"/>
    <w:rsid w:val="00D66C18"/>
    <w:rsid w:val="19BD1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Words>
  <Characters>43</Characters>
  <Lines>1</Lines>
  <Paragraphs>1</Paragraphs>
  <TotalTime>7</TotalTime>
  <ScaleCrop>false</ScaleCrop>
  <LinksUpToDate>false</LinksUpToDate>
  <CharactersWithSpaces>46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2023-04-23T08:17:00Z</dcterms:created>
  <dc:creator>1815428635@qq.com</dc:creator>
  <cp:lastModifiedBy>陶奎君</cp:lastModifiedBy>
  <dcterms:modified xsi:type="dcterms:W3CDTF">2023-05-07T06:04:17Z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0C5D3ED646624C4C9E21CB217E5C7097_12</vt:lpwstr>
  </property>
</Properties>
</file>