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592CF8" w14:textId="77777777" w:rsidR="003C7E59" w:rsidRDefault="00000000">
      <w:pPr>
        <w:snapToGrid w:val="0"/>
        <w:spacing w:line="300" w:lineRule="auto"/>
        <w:rPr>
          <w:rFonts w:ascii="宋体" w:eastAsia="宋体" w:hAnsi="宋体"/>
        </w:rPr>
      </w:pPr>
      <w:r>
        <w:rPr>
          <w:rFonts w:ascii="宋体" w:eastAsia="宋体" w:hAnsi="宋体"/>
          <w:noProof/>
        </w:rPr>
        <mc:AlternateContent>
          <mc:Choice Requires="wps">
            <w:drawing>
              <wp:anchor distT="0" distB="0" distL="114300" distR="114300" simplePos="0" relativeHeight="251661312" behindDoc="0" locked="0" layoutInCell="1" allowOverlap="1" wp14:anchorId="21888DFC" wp14:editId="0EBBCDB3">
                <wp:simplePos x="0" y="0"/>
                <wp:positionH relativeFrom="column">
                  <wp:posOffset>4561840</wp:posOffset>
                </wp:positionH>
                <wp:positionV relativeFrom="paragraph">
                  <wp:posOffset>17145</wp:posOffset>
                </wp:positionV>
                <wp:extent cx="0" cy="516890"/>
                <wp:effectExtent l="4445" t="0" r="10795" b="1270"/>
                <wp:wrapNone/>
                <wp:docPr id="5" name="直接连接符 3"/>
                <wp:cNvGraphicFramePr/>
                <a:graphic xmlns:a="http://schemas.openxmlformats.org/drawingml/2006/main">
                  <a:graphicData uri="http://schemas.microsoft.com/office/word/2010/wordprocessingShape">
                    <wps:wsp>
                      <wps:cNvCnPr/>
                      <wps:spPr>
                        <a:xfrm>
                          <a:off x="0" y="0"/>
                          <a:ext cx="0" cy="516890"/>
                        </a:xfrm>
                        <a:prstGeom prst="line">
                          <a:avLst/>
                        </a:prstGeom>
                        <a:noFill/>
                        <a:ln w="6350" cap="flat" cmpd="sng" algn="ctr">
                          <a:solidFill>
                            <a:srgbClr val="000000"/>
                          </a:solidFill>
                          <a:prstDash val="solid"/>
                          <a:miter lim="800000"/>
                        </a:ln>
                        <a:effectLst/>
                      </wps:spPr>
                      <wps:bodyPr/>
                    </wps:wsp>
                  </a:graphicData>
                </a:graphic>
              </wp:anchor>
            </w:drawing>
          </mc:Choice>
          <mc:Fallback>
            <w:pict>
              <v:line w14:anchorId="1DC055F5" id="直接连接符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59.2pt,1.35pt" to="359.2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" strokeweight=".5pt">
                <v:stroke joinstyle="miter"/>
              </v:line>
            </w:pict>
          </mc:Fallback>
        </mc:AlternateContent>
      </w:r>
      <w:r>
        <w:rPr>
          <w:rFonts w:ascii="宋体" w:eastAsia="宋体" w:hAnsi="宋体"/>
          <w:noProof/>
        </w:rPr>
        <mc:AlternateContent>
          <mc:Choice Requires="wps">
            <w:drawing>
              <wp:anchor distT="0" distB="0" distL="114300" distR="114300" simplePos="0" relativeHeight="251662336" behindDoc="0" locked="0" layoutInCell="1" allowOverlap="1" wp14:anchorId="55CEF4A3" wp14:editId="7F8BFC49">
                <wp:simplePos x="0" y="0"/>
                <wp:positionH relativeFrom="column">
                  <wp:posOffset>3883660</wp:posOffset>
                </wp:positionH>
                <wp:positionV relativeFrom="paragraph">
                  <wp:posOffset>97790</wp:posOffset>
                </wp:positionV>
                <wp:extent cx="600075" cy="333375"/>
                <wp:effectExtent l="0" t="0" r="9525" b="1905"/>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333375"/>
                        </a:xfrm>
                        <a:prstGeom prst="rect">
                          <a:avLst/>
                        </a:prstGeom>
                        <a:solidFill>
                          <a:srgbClr val="FFFFFF"/>
                        </a:solidFill>
                        <a:ln w="9525">
                          <a:noFill/>
                          <a:miter lim="800000"/>
                        </a:ln>
                        <a:effectLst/>
                      </wps:spPr>
                      <wps:txbx>
                        <w:txbxContent>
                          <w:p w14:paraId="1610DC62" w14:textId="77777777" w:rsidR="003C7E59" w:rsidRDefault="00000000">
                            <w:pPr>
                              <w:rPr>
                                <w:b/>
                              </w:rPr>
                            </w:pPr>
                            <w:r>
                              <w:rPr>
                                <w:rFonts w:hint="eastAsia"/>
                                <w:b/>
                              </w:rPr>
                              <w:t xml:space="preserve"> </w:t>
                            </w:r>
                            <w:r>
                              <w:rPr>
                                <w:b/>
                              </w:rPr>
                              <w:t>成绩</w:t>
                            </w:r>
                          </w:p>
                        </w:txbxContent>
                      </wps:txbx>
                      <wps:bodyPr rot="0" vert="horz" wrap="square" lIns="91440" tIns="45720" rIns="91440" bIns="45720" anchor="t" anchorCtr="0">
                        <a:noAutofit/>
                      </wps:bodyPr>
                    </wps:wsp>
                  </a:graphicData>
                </a:graphic>
              </wp:anchor>
            </w:drawing>
          </mc:Choice>
          <mc:Fallback>
            <w:pict>
              <v:shapetype w14:anchorId="55CEF4A3" id="_x0000_t202" coordsize="21600,21600" o:spt="202" path="m,l,21600r21600,l21600,xe">
                <v:stroke joinstyle="miter"/>
                <v:path gradientshapeok="t" o:connecttype="rect"/>
              </v:shapetype>
              <v:shape id="文本框 2" o:spid="_x0000_s1026" type="#_x0000_t202" style="position:absolute;margin-left:305.8pt;margin-top:7.7pt;width:47.25pt;height:26.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" stroked="f">
                <v:textbox>
                  <w:txbxContent>
                    <w:p w14:paraId="1610DC62" w14:textId="77777777" w:rsidR="003C7E59" w:rsidRDefault="00000000">
                      <w:pPr>
                        <w:rPr>
                          <w:b/>
                        </w:rPr>
                      </w:pPr>
                      <w:r>
                        <w:rPr>
                          <w:rFonts w:hint="eastAsia"/>
                          <w:b/>
                        </w:rPr>
                        <w:t xml:space="preserve"> </w:t>
                      </w:r>
                      <w:r>
                        <w:rPr>
                          <w:b/>
                        </w:rPr>
                        <w:t>成绩</w:t>
                      </w:r>
                    </w:p>
                  </w:txbxContent>
                </v:textbox>
              </v:shape>
            </w:pict>
          </mc:Fallback>
        </mc:AlternateContent>
      </w:r>
      <w:r>
        <w:rPr>
          <w:rFonts w:ascii="宋体" w:eastAsia="宋体" w:hAnsi="宋体"/>
          <w:noProof/>
        </w:rPr>
        <mc:AlternateContent>
          <mc:Choice Requires="wps">
            <w:drawing>
              <wp:anchor distT="0" distB="0" distL="114300" distR="114300" simplePos="0" relativeHeight="251660288" behindDoc="0" locked="0" layoutInCell="1" allowOverlap="1" wp14:anchorId="385A6C03" wp14:editId="7FEE93B7">
                <wp:simplePos x="0" y="0"/>
                <wp:positionH relativeFrom="column">
                  <wp:posOffset>3793490</wp:posOffset>
                </wp:positionH>
                <wp:positionV relativeFrom="paragraph">
                  <wp:posOffset>17145</wp:posOffset>
                </wp:positionV>
                <wp:extent cx="1381125" cy="516890"/>
                <wp:effectExtent l="6350" t="6350" r="14605" b="10160"/>
                <wp:wrapNone/>
                <wp:docPr id="4" name="矩形 2"/>
                <wp:cNvGraphicFramePr/>
                <a:graphic xmlns:a="http://schemas.openxmlformats.org/drawingml/2006/main">
                  <a:graphicData uri="http://schemas.microsoft.com/office/word/2010/wordprocessingShape">
                    <wps:wsp>
                      <wps:cNvSpPr/>
                      <wps:spPr>
                        <a:xfrm>
                          <a:off x="0" y="0"/>
                          <a:ext cx="1381125" cy="516890"/>
                        </a:xfrm>
                        <a:prstGeom prst="rect">
                          <a:avLst/>
                        </a:prstGeom>
                        <a:noFill/>
                        <a:ln w="12700" cap="flat" cmpd="sng" algn="ctr">
                          <a:solidFill>
                            <a:srgbClr val="000000"/>
                          </a:solidFill>
                          <a:prstDash val="solid"/>
                          <a:miter lim="800000"/>
                        </a:ln>
                        <a:effectLst/>
                      </wps:spPr>
                      <wps:txbx>
                        <w:txbxContent>
                          <w:p w14:paraId="722BF818" w14:textId="77777777" w:rsidR="003C7E59" w:rsidRDefault="00000000">
                            <w:pPr>
                              <w:rPr>
                                <w:color w:val="FF0000"/>
                              </w:rPr>
                            </w:pPr>
                            <w:r>
                              <w:rPr>
                                <w:rFonts w:hint="eastAsia"/>
                              </w:rPr>
                              <w:t>5</w:t>
                            </w:r>
                            <w:r>
                              <w:t>5</w:t>
                            </w:r>
                            <w:r>
                              <w:rPr>
                                <w:rFonts w:hint="eastAsia"/>
                              </w:rPr>
                              <w:t xml:space="preserve">。 </w:t>
                            </w:r>
                            <w:r>
                              <w:t xml:space="preserve">      </w:t>
                            </w:r>
                            <w:r>
                              <w:rPr>
                                <w:color w:val="000000" w:themeColor="text1"/>
                              </w:rPr>
                              <w:t xml:space="preserve">  </w:t>
                            </w:r>
                            <w:r>
                              <w:rPr>
                                <w:color w:val="FF0000"/>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85A6C03" id="矩形 2" o:spid="_x0000_s1027" style="position:absolute;margin-left:298.7pt;margin-top:1.35pt;width:108.75pt;height:40.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" filled="f" strokeweight="1pt">
                <v:textbox>
                  <w:txbxContent>
                    <w:p w14:paraId="722BF818" w14:textId="77777777" w:rsidR="003C7E59" w:rsidRDefault="00000000">
                      <w:pPr>
                        <w:rPr>
                          <w:color w:val="FF0000"/>
                        </w:rPr>
                      </w:pPr>
                      <w:r>
                        <w:rPr>
                          <w:rFonts w:hint="eastAsia"/>
                        </w:rPr>
                        <w:t>5</w:t>
                      </w:r>
                      <w:r>
                        <w:t>5</w:t>
                      </w:r>
                      <w:r>
                        <w:rPr>
                          <w:rFonts w:hint="eastAsia"/>
                        </w:rPr>
                        <w:t xml:space="preserve">。 </w:t>
                      </w:r>
                      <w:r>
                        <w:t xml:space="preserve">      </w:t>
                      </w:r>
                      <w:r>
                        <w:rPr>
                          <w:color w:val="000000" w:themeColor="text1"/>
                        </w:rPr>
                        <w:t xml:space="preserve">  </w:t>
                      </w:r>
                      <w:r>
                        <w:rPr>
                          <w:color w:val="FF0000"/>
                        </w:rPr>
                        <w:t xml:space="preserve"> </w:t>
                      </w:r>
                    </w:p>
                  </w:txbxContent>
                </v:textbox>
              </v:rect>
            </w:pict>
          </mc:Fallback>
        </mc:AlternateContent>
      </w:r>
      <w:r>
        <w:rPr>
          <w:rFonts w:ascii="宋体" w:eastAsia="宋体" w:hAnsi="宋体"/>
        </w:rPr>
        <w:t xml:space="preserve">　　　　　　　</w:t>
      </w:r>
    </w:p>
    <w:p w14:paraId="521EFB10" w14:textId="77777777" w:rsidR="003C7E59" w:rsidRDefault="00000000">
      <w:pPr>
        <w:snapToGrid w:val="0"/>
        <w:spacing w:line="300" w:lineRule="auto"/>
        <w:rPr>
          <w:rFonts w:ascii="宋体" w:eastAsia="宋体" w:hAnsi="宋体"/>
        </w:rPr>
      </w:pPr>
      <w:r>
        <w:rPr>
          <w:rFonts w:ascii="宋体" w:eastAsia="宋体" w:hAnsi="宋体"/>
        </w:rPr>
        <w:t xml:space="preserve">　　　　　　　　　　　　　　　　</w:t>
      </w:r>
      <w:r>
        <w:rPr>
          <w:rFonts w:ascii="宋体" w:eastAsia="宋体" w:hAnsi="宋体" w:hint="eastAsia"/>
          <w:noProof/>
        </w:rPr>
        <w:drawing>
          <wp:anchor distT="0" distB="0" distL="114300" distR="114300" simplePos="0" relativeHeight="251659264" behindDoc="0" locked="0" layoutInCell="1" allowOverlap="1" wp14:anchorId="7EA5D182" wp14:editId="3A635626">
            <wp:simplePos x="0" y="0"/>
            <wp:positionH relativeFrom="column">
              <wp:posOffset>1299845</wp:posOffset>
            </wp:positionH>
            <wp:positionV relativeFrom="paragraph">
              <wp:posOffset>263525</wp:posOffset>
            </wp:positionV>
            <wp:extent cx="2679700" cy="726440"/>
            <wp:effectExtent l="0" t="0" r="6350" b="0"/>
            <wp:wrapTopAndBottom/>
            <wp:docPr id="1" name="图片 1" descr="15878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58789612"/>
                    <pic:cNvPicPr>
                      <a:picLocks noChangeAspect="1"/>
                    </pic:cNvPicPr>
                  </pic:nvPicPr>
                  <pic:blipFill>
                    <a:blip r:embed="rId9" cstate="print">
                      <a:extLst>
                        <a:ext uri="{28A0092B-C50C-407E-A947-70E740481C1C}">
                          <a14:useLocalDpi xmlns:a14="http://schemas.microsoft.com/office/drawing/2010/main" val="0"/>
                        </a:ext>
                      </a:extLst>
                    </a:blip>
                    <a:srcRect t="29046" b="30694"/>
                    <a:stretch>
                      <a:fillRect/>
                    </a:stretch>
                  </pic:blipFill>
                  <pic:spPr>
                    <a:xfrm>
                      <a:off x="0" y="0"/>
                      <a:ext cx="2679700" cy="726440"/>
                    </a:xfrm>
                    <a:prstGeom prst="rect">
                      <a:avLst/>
                    </a:prstGeom>
                    <a:ln>
                      <a:noFill/>
                    </a:ln>
                  </pic:spPr>
                </pic:pic>
              </a:graphicData>
            </a:graphic>
          </wp:anchor>
        </w:drawing>
      </w:r>
    </w:p>
    <w:p w14:paraId="09926DE8" w14:textId="77777777" w:rsidR="003C7E59" w:rsidRDefault="003C7E59">
      <w:pPr>
        <w:snapToGrid w:val="0"/>
        <w:spacing w:line="300" w:lineRule="auto"/>
        <w:ind w:left="1260" w:firstLine="420"/>
        <w:rPr>
          <w:rFonts w:ascii="宋体" w:eastAsia="宋体" w:hAnsi="宋体"/>
          <w:bCs/>
          <w:sz w:val="48"/>
          <w:szCs w:val="36"/>
        </w:rPr>
      </w:pPr>
    </w:p>
    <w:p w14:paraId="518F0FA2" w14:textId="77777777" w:rsidR="003C7E59" w:rsidRDefault="00000000">
      <w:pPr>
        <w:snapToGrid w:val="0"/>
        <w:spacing w:line="300" w:lineRule="auto"/>
        <w:ind w:left="1260" w:firstLine="420"/>
        <w:rPr>
          <w:rFonts w:ascii="宋体" w:eastAsia="宋体" w:hAnsi="宋体" w:cs="微软雅黑"/>
          <w:bCs/>
          <w:sz w:val="48"/>
          <w:szCs w:val="48"/>
        </w:rPr>
      </w:pPr>
      <w:r>
        <w:rPr>
          <w:rFonts w:ascii="宋体" w:eastAsia="宋体" w:hAnsi="宋体" w:hint="eastAsia"/>
          <w:bCs/>
          <w:sz w:val="48"/>
          <w:szCs w:val="36"/>
        </w:rPr>
        <w:t>世界遗产鉴赏</w:t>
      </w:r>
      <w:r>
        <w:rPr>
          <w:rFonts w:ascii="宋体" w:eastAsia="宋体" w:hAnsi="宋体" w:cs="微软雅黑" w:hint="eastAsia"/>
          <w:bCs/>
          <w:sz w:val="48"/>
          <w:szCs w:val="48"/>
        </w:rPr>
        <w:t>课程论文</w:t>
      </w:r>
    </w:p>
    <w:p w14:paraId="78579616" w14:textId="77777777" w:rsidR="003C7E59" w:rsidRDefault="003C7E59">
      <w:pPr>
        <w:snapToGrid w:val="0"/>
        <w:spacing w:line="300" w:lineRule="auto"/>
        <w:ind w:left="1260" w:firstLine="420"/>
        <w:rPr>
          <w:rFonts w:ascii="宋体" w:eastAsia="宋体" w:hAnsi="宋体" w:cs="微软雅黑"/>
          <w:bCs/>
          <w:sz w:val="48"/>
          <w:szCs w:val="48"/>
        </w:rPr>
      </w:pPr>
    </w:p>
    <w:p w14:paraId="5325BAD5" w14:textId="77777777" w:rsidR="003C7E59" w:rsidRDefault="00000000">
      <w:pPr>
        <w:snapToGrid w:val="0"/>
        <w:spacing w:line="300" w:lineRule="auto"/>
        <w:ind w:left="840" w:firstLine="420"/>
        <w:rPr>
          <w:rFonts w:ascii="宋体" w:eastAsia="宋体" w:hAnsi="宋体" w:cs="微软雅黑"/>
          <w:bCs/>
          <w:sz w:val="30"/>
          <w:szCs w:val="30"/>
          <w:u w:val="single"/>
        </w:rPr>
      </w:pPr>
      <w:proofErr w:type="gramStart"/>
      <w:r>
        <w:rPr>
          <w:rFonts w:ascii="宋体" w:eastAsia="宋体" w:hAnsi="宋体" w:cs="微软雅黑" w:hint="eastAsia"/>
          <w:bCs/>
          <w:sz w:val="30"/>
          <w:szCs w:val="30"/>
        </w:rPr>
        <w:t xml:space="preserve">题　　</w:t>
      </w:r>
      <w:proofErr w:type="gramEnd"/>
      <w:r>
        <w:rPr>
          <w:rFonts w:ascii="宋体" w:eastAsia="宋体" w:hAnsi="宋体" w:cs="微软雅黑" w:hint="eastAsia"/>
          <w:bCs/>
          <w:sz w:val="30"/>
          <w:szCs w:val="30"/>
        </w:rPr>
        <w:t>目：</w:t>
      </w:r>
      <w:r>
        <w:rPr>
          <w:rFonts w:ascii="宋体" w:eastAsia="宋体" w:hAnsi="宋体" w:cs="微软雅黑" w:hint="eastAsia"/>
          <w:bCs/>
          <w:sz w:val="30"/>
          <w:szCs w:val="30"/>
          <w:u w:val="single"/>
        </w:rPr>
        <w:t>新型工业化和新型城镇化的公共文化服务</w:t>
      </w:r>
    </w:p>
    <w:p w14:paraId="697D6C7F" w14:textId="77777777" w:rsidR="003C7E59" w:rsidRDefault="00000000">
      <w:pPr>
        <w:snapToGrid w:val="0"/>
        <w:spacing w:line="300" w:lineRule="auto"/>
        <w:ind w:left="840" w:firstLine="420"/>
        <w:rPr>
          <w:rFonts w:ascii="宋体" w:eastAsia="宋体" w:hAnsi="宋体" w:cs="微软雅黑"/>
          <w:bCs/>
          <w:sz w:val="30"/>
          <w:szCs w:val="30"/>
        </w:rPr>
      </w:pPr>
      <w:r>
        <w:rPr>
          <w:rFonts w:ascii="宋体" w:eastAsia="宋体" w:hAnsi="宋体" w:cs="微软雅黑" w:hint="eastAsia"/>
          <w:bCs/>
          <w:sz w:val="30"/>
          <w:szCs w:val="30"/>
        </w:rPr>
        <w:t>学    院：</w:t>
      </w:r>
      <w:r>
        <w:rPr>
          <w:rFonts w:ascii="宋体" w:eastAsia="宋体" w:hAnsi="宋体" w:cs="微软雅黑" w:hint="eastAsia"/>
          <w:bCs/>
          <w:sz w:val="30"/>
          <w:szCs w:val="30"/>
          <w:u w:val="single"/>
        </w:rPr>
        <w:t xml:space="preserve">计 </w:t>
      </w:r>
      <w:r>
        <w:rPr>
          <w:rFonts w:ascii="宋体" w:eastAsia="宋体" w:hAnsi="宋体" w:cs="微软雅黑"/>
          <w:bCs/>
          <w:sz w:val="30"/>
          <w:szCs w:val="30"/>
          <w:u w:val="single"/>
        </w:rPr>
        <w:t xml:space="preserve">   </w:t>
      </w:r>
      <w:r>
        <w:rPr>
          <w:rFonts w:ascii="宋体" w:eastAsia="宋体" w:hAnsi="宋体" w:cs="微软雅黑" w:hint="eastAsia"/>
          <w:bCs/>
          <w:sz w:val="30"/>
          <w:szCs w:val="30"/>
          <w:u w:val="single"/>
        </w:rPr>
        <w:t xml:space="preserve">算   </w:t>
      </w:r>
      <w:r>
        <w:rPr>
          <w:rFonts w:ascii="宋体" w:eastAsia="宋体" w:hAnsi="宋体" w:cs="微软雅黑"/>
          <w:bCs/>
          <w:sz w:val="30"/>
          <w:szCs w:val="30"/>
          <w:u w:val="single"/>
        </w:rPr>
        <w:t xml:space="preserve"> </w:t>
      </w:r>
      <w:r>
        <w:rPr>
          <w:rFonts w:ascii="宋体" w:eastAsia="宋体" w:hAnsi="宋体" w:cs="微软雅黑" w:hint="eastAsia"/>
          <w:bCs/>
          <w:sz w:val="30"/>
          <w:szCs w:val="30"/>
          <w:u w:val="single"/>
        </w:rPr>
        <w:t xml:space="preserve">机 </w:t>
      </w:r>
      <w:r>
        <w:rPr>
          <w:rFonts w:ascii="宋体" w:eastAsia="宋体" w:hAnsi="宋体" w:cs="微软雅黑"/>
          <w:bCs/>
          <w:sz w:val="30"/>
          <w:szCs w:val="30"/>
          <w:u w:val="single"/>
        </w:rPr>
        <w:t xml:space="preserve">   </w:t>
      </w:r>
      <w:r>
        <w:rPr>
          <w:rFonts w:ascii="宋体" w:eastAsia="宋体" w:hAnsi="宋体" w:cs="微软雅黑" w:hint="eastAsia"/>
          <w:bCs/>
          <w:sz w:val="30"/>
          <w:szCs w:val="30"/>
          <w:u w:val="single"/>
        </w:rPr>
        <w:t xml:space="preserve">学 </w:t>
      </w:r>
      <w:r>
        <w:rPr>
          <w:rFonts w:ascii="宋体" w:eastAsia="宋体" w:hAnsi="宋体" w:cs="微软雅黑"/>
          <w:bCs/>
          <w:sz w:val="30"/>
          <w:szCs w:val="30"/>
          <w:u w:val="single"/>
        </w:rPr>
        <w:t xml:space="preserve"> </w:t>
      </w:r>
      <w:r>
        <w:rPr>
          <w:rFonts w:ascii="宋体" w:eastAsia="宋体" w:hAnsi="宋体" w:cs="微软雅黑" w:hint="eastAsia"/>
          <w:bCs/>
          <w:sz w:val="30"/>
          <w:szCs w:val="30"/>
          <w:u w:val="single"/>
        </w:rPr>
        <w:t xml:space="preserve"> </w:t>
      </w:r>
      <w:r>
        <w:rPr>
          <w:rFonts w:ascii="宋体" w:eastAsia="宋体" w:hAnsi="宋体" w:cs="微软雅黑"/>
          <w:bCs/>
          <w:sz w:val="30"/>
          <w:szCs w:val="30"/>
          <w:u w:val="single"/>
        </w:rPr>
        <w:t xml:space="preserve"> </w:t>
      </w:r>
      <w:r>
        <w:rPr>
          <w:rFonts w:ascii="宋体" w:eastAsia="宋体" w:hAnsi="宋体" w:cs="微软雅黑" w:hint="eastAsia"/>
          <w:bCs/>
          <w:sz w:val="30"/>
          <w:szCs w:val="30"/>
          <w:u w:val="single"/>
        </w:rPr>
        <w:t>院</w:t>
      </w:r>
    </w:p>
    <w:p w14:paraId="0BB82C4A" w14:textId="77777777" w:rsidR="003C7E59" w:rsidRDefault="00000000">
      <w:pPr>
        <w:snapToGrid w:val="0"/>
        <w:spacing w:line="300" w:lineRule="auto"/>
        <w:ind w:left="840" w:firstLine="420"/>
        <w:rPr>
          <w:rFonts w:ascii="宋体" w:eastAsia="宋体" w:hAnsi="宋体" w:cs="微软雅黑"/>
          <w:bCs/>
          <w:sz w:val="30"/>
          <w:szCs w:val="30"/>
          <w:u w:val="single"/>
        </w:rPr>
      </w:pPr>
      <w:r>
        <w:rPr>
          <w:rFonts w:ascii="宋体" w:eastAsia="宋体" w:hAnsi="宋体" w:cs="微软雅黑" w:hint="eastAsia"/>
          <w:bCs/>
          <w:sz w:val="30"/>
          <w:szCs w:val="30"/>
        </w:rPr>
        <w:t>专业名称：</w:t>
      </w:r>
      <w:r>
        <w:rPr>
          <w:rFonts w:ascii="宋体" w:eastAsia="宋体" w:hAnsi="宋体" w:cs="微软雅黑" w:hint="eastAsia"/>
          <w:bCs/>
          <w:sz w:val="30"/>
          <w:szCs w:val="30"/>
          <w:u w:val="single"/>
        </w:rPr>
        <w:t xml:space="preserve">软 </w:t>
      </w:r>
      <w:r>
        <w:rPr>
          <w:rFonts w:ascii="宋体" w:eastAsia="宋体" w:hAnsi="宋体" w:cs="微软雅黑"/>
          <w:bCs/>
          <w:sz w:val="30"/>
          <w:szCs w:val="30"/>
          <w:u w:val="single"/>
        </w:rPr>
        <w:t xml:space="preserve">     </w:t>
      </w:r>
      <w:r>
        <w:rPr>
          <w:rFonts w:ascii="宋体" w:eastAsia="宋体" w:hAnsi="宋体" w:cs="微软雅黑" w:hint="eastAsia"/>
          <w:bCs/>
          <w:sz w:val="30"/>
          <w:szCs w:val="30"/>
          <w:u w:val="single"/>
        </w:rPr>
        <w:t xml:space="preserve">件 </w:t>
      </w:r>
      <w:r>
        <w:rPr>
          <w:rFonts w:ascii="宋体" w:eastAsia="宋体" w:hAnsi="宋体" w:cs="微软雅黑"/>
          <w:bCs/>
          <w:sz w:val="30"/>
          <w:szCs w:val="30"/>
          <w:u w:val="single"/>
        </w:rPr>
        <w:t xml:space="preserve">     </w:t>
      </w:r>
      <w:r>
        <w:rPr>
          <w:rFonts w:ascii="宋体" w:eastAsia="宋体" w:hAnsi="宋体" w:cs="微软雅黑" w:hint="eastAsia"/>
          <w:bCs/>
          <w:sz w:val="30"/>
          <w:szCs w:val="30"/>
          <w:u w:val="single"/>
        </w:rPr>
        <w:t xml:space="preserve">工 </w:t>
      </w:r>
      <w:r>
        <w:rPr>
          <w:rFonts w:ascii="宋体" w:eastAsia="宋体" w:hAnsi="宋体" w:cs="微软雅黑"/>
          <w:bCs/>
          <w:sz w:val="30"/>
          <w:szCs w:val="30"/>
          <w:u w:val="single"/>
        </w:rPr>
        <w:t xml:space="preserve">     </w:t>
      </w:r>
      <w:r>
        <w:rPr>
          <w:rFonts w:ascii="宋体" w:eastAsia="宋体" w:hAnsi="宋体" w:cs="微软雅黑" w:hint="eastAsia"/>
          <w:bCs/>
          <w:sz w:val="30"/>
          <w:szCs w:val="30"/>
          <w:u w:val="single"/>
        </w:rPr>
        <w:t>程</w:t>
      </w:r>
    </w:p>
    <w:p w14:paraId="3387D8CB" w14:textId="77777777" w:rsidR="003C7E59" w:rsidRDefault="00000000">
      <w:pPr>
        <w:snapToGrid w:val="0"/>
        <w:spacing w:line="300" w:lineRule="auto"/>
        <w:ind w:left="840" w:firstLine="420"/>
        <w:rPr>
          <w:rFonts w:ascii="宋体" w:eastAsia="宋体" w:hAnsi="宋体" w:cs="微软雅黑"/>
          <w:bCs/>
          <w:sz w:val="30"/>
          <w:szCs w:val="30"/>
          <w:u w:val="single"/>
        </w:rPr>
      </w:pPr>
      <w:r>
        <w:rPr>
          <w:rFonts w:ascii="宋体" w:eastAsia="宋体" w:hAnsi="宋体" w:cs="微软雅黑" w:hint="eastAsia"/>
          <w:bCs/>
          <w:sz w:val="30"/>
          <w:szCs w:val="30"/>
        </w:rPr>
        <w:t>学    号：</w:t>
      </w:r>
      <w:r>
        <w:rPr>
          <w:rFonts w:ascii="宋体" w:eastAsia="宋体" w:hAnsi="宋体" w:cs="微软雅黑"/>
          <w:bCs/>
          <w:sz w:val="30"/>
          <w:szCs w:val="30"/>
          <w:u w:val="single"/>
        </w:rPr>
        <w:t>1120221303</w:t>
      </w:r>
      <w:r>
        <w:rPr>
          <w:rFonts w:ascii="宋体" w:eastAsia="宋体" w:hAnsi="宋体" w:cs="微软雅黑" w:hint="eastAsia"/>
          <w:bCs/>
          <w:sz w:val="30"/>
          <w:szCs w:val="30"/>
          <w:u w:val="single"/>
        </w:rPr>
        <w:t xml:space="preserve">             </w:t>
      </w:r>
      <w:r>
        <w:rPr>
          <w:rFonts w:ascii="宋体" w:eastAsia="宋体" w:hAnsi="宋体" w:cs="微软雅黑"/>
          <w:bCs/>
          <w:sz w:val="30"/>
          <w:szCs w:val="30"/>
          <w:u w:val="single"/>
        </w:rPr>
        <w:t xml:space="preserve"> </w:t>
      </w:r>
    </w:p>
    <w:p w14:paraId="7D94A947" w14:textId="77777777" w:rsidR="003C7E59" w:rsidRDefault="00000000">
      <w:pPr>
        <w:snapToGrid w:val="0"/>
        <w:spacing w:line="300" w:lineRule="auto"/>
        <w:ind w:left="840" w:firstLine="420"/>
        <w:rPr>
          <w:rFonts w:ascii="宋体" w:eastAsia="宋体" w:hAnsi="宋体" w:cs="微软雅黑"/>
          <w:bCs/>
          <w:sz w:val="30"/>
          <w:szCs w:val="30"/>
          <w:u w:val="single"/>
        </w:rPr>
      </w:pPr>
      <w:r>
        <w:rPr>
          <w:rFonts w:ascii="宋体" w:eastAsia="宋体" w:hAnsi="宋体" w:cs="微软雅黑" w:hint="eastAsia"/>
          <w:bCs/>
          <w:sz w:val="30"/>
          <w:szCs w:val="30"/>
        </w:rPr>
        <w:t>姓    名：</w:t>
      </w:r>
      <w:r>
        <w:rPr>
          <w:rFonts w:ascii="宋体" w:eastAsia="宋体" w:hAnsi="宋体" w:cs="微软雅黑" w:hint="eastAsia"/>
          <w:bCs/>
          <w:sz w:val="30"/>
          <w:szCs w:val="30"/>
          <w:u w:val="single"/>
        </w:rPr>
        <w:t xml:space="preserve">俞乐楠                 </w:t>
      </w:r>
      <w:r>
        <w:rPr>
          <w:rFonts w:ascii="宋体" w:eastAsia="宋体" w:hAnsi="宋体" w:cs="微软雅黑"/>
          <w:bCs/>
          <w:sz w:val="30"/>
          <w:szCs w:val="30"/>
          <w:u w:val="single"/>
        </w:rPr>
        <w:t xml:space="preserve">  </w:t>
      </w:r>
      <w:r>
        <w:rPr>
          <w:rFonts w:ascii="宋体" w:eastAsia="宋体" w:hAnsi="宋体" w:cs="微软雅黑" w:hint="eastAsia"/>
          <w:bCs/>
          <w:sz w:val="30"/>
          <w:szCs w:val="30"/>
          <w:u w:val="single"/>
        </w:rPr>
        <w:t xml:space="preserve"> </w:t>
      </w:r>
    </w:p>
    <w:p w14:paraId="4B2EF836" w14:textId="77777777" w:rsidR="003C7E59" w:rsidRDefault="00000000">
      <w:pPr>
        <w:snapToGrid w:val="0"/>
        <w:spacing w:line="300" w:lineRule="auto"/>
        <w:ind w:left="840" w:firstLine="420"/>
        <w:rPr>
          <w:rFonts w:ascii="宋体" w:eastAsia="宋体" w:hAnsi="宋体" w:cs="微软雅黑"/>
          <w:bCs/>
          <w:sz w:val="30"/>
          <w:szCs w:val="30"/>
          <w:u w:val="single"/>
        </w:rPr>
      </w:pPr>
      <w:r>
        <w:rPr>
          <w:rFonts w:ascii="宋体" w:eastAsia="宋体" w:hAnsi="宋体" w:cs="微软雅黑" w:hint="eastAsia"/>
          <w:bCs/>
          <w:sz w:val="30"/>
          <w:szCs w:val="30"/>
        </w:rPr>
        <w:t>学    号：</w:t>
      </w:r>
      <w:bookmarkStart w:id="0" w:name="_Hlk152078291"/>
      <w:r>
        <w:rPr>
          <w:rFonts w:ascii="宋体" w:eastAsia="宋体" w:hAnsi="宋体" w:cs="微软雅黑"/>
          <w:bCs/>
          <w:sz w:val="30"/>
          <w:szCs w:val="30"/>
          <w:u w:val="single"/>
        </w:rPr>
        <w:t>1120221397</w:t>
      </w:r>
      <w:bookmarkEnd w:id="0"/>
      <w:r>
        <w:rPr>
          <w:rFonts w:ascii="宋体" w:eastAsia="宋体" w:hAnsi="宋体" w:cs="微软雅黑" w:hint="eastAsia"/>
          <w:bCs/>
          <w:sz w:val="30"/>
          <w:szCs w:val="30"/>
          <w:u w:val="single"/>
        </w:rPr>
        <w:t xml:space="preserve">              </w:t>
      </w:r>
    </w:p>
    <w:p w14:paraId="63F50D5A" w14:textId="77777777" w:rsidR="003C7E59" w:rsidRDefault="00000000">
      <w:pPr>
        <w:snapToGrid w:val="0"/>
        <w:spacing w:line="300" w:lineRule="auto"/>
        <w:ind w:left="840" w:firstLine="420"/>
        <w:rPr>
          <w:rFonts w:ascii="宋体" w:eastAsia="宋体" w:hAnsi="宋体" w:cs="微软雅黑"/>
          <w:bCs/>
          <w:sz w:val="30"/>
          <w:szCs w:val="30"/>
          <w:u w:val="single"/>
        </w:rPr>
      </w:pPr>
      <w:r>
        <w:rPr>
          <w:rFonts w:ascii="宋体" w:eastAsia="宋体" w:hAnsi="宋体" w:cs="微软雅黑" w:hint="eastAsia"/>
          <w:bCs/>
          <w:sz w:val="30"/>
          <w:szCs w:val="30"/>
        </w:rPr>
        <w:t>姓    名：</w:t>
      </w:r>
      <w:bookmarkStart w:id="1" w:name="_Hlk152078296"/>
      <w:r>
        <w:rPr>
          <w:rFonts w:ascii="宋体" w:eastAsia="宋体" w:hAnsi="宋体" w:cs="微软雅黑" w:hint="eastAsia"/>
          <w:bCs/>
          <w:sz w:val="30"/>
          <w:szCs w:val="30"/>
          <w:u w:val="single"/>
        </w:rPr>
        <w:t>徐文彬</w:t>
      </w:r>
      <w:bookmarkEnd w:id="1"/>
      <w:r>
        <w:rPr>
          <w:rFonts w:ascii="宋体" w:eastAsia="宋体" w:hAnsi="宋体" w:cs="微软雅黑" w:hint="eastAsia"/>
          <w:bCs/>
          <w:sz w:val="30"/>
          <w:szCs w:val="30"/>
          <w:u w:val="single"/>
        </w:rPr>
        <w:t xml:space="preserve">                    </w:t>
      </w:r>
    </w:p>
    <w:p w14:paraId="4B0E1873" w14:textId="77777777" w:rsidR="003C7E59" w:rsidRDefault="00000000">
      <w:pPr>
        <w:snapToGrid w:val="0"/>
        <w:spacing w:line="300" w:lineRule="auto"/>
        <w:ind w:left="840" w:firstLine="420"/>
        <w:rPr>
          <w:rFonts w:ascii="宋体" w:eastAsia="宋体" w:hAnsi="宋体" w:cs="微软雅黑"/>
          <w:bCs/>
          <w:sz w:val="30"/>
          <w:szCs w:val="30"/>
          <w:u w:val="single"/>
        </w:rPr>
      </w:pPr>
      <w:r>
        <w:rPr>
          <w:rFonts w:ascii="宋体" w:eastAsia="宋体" w:hAnsi="宋体" w:cs="微软雅黑" w:hint="eastAsia"/>
          <w:bCs/>
          <w:sz w:val="30"/>
          <w:szCs w:val="30"/>
        </w:rPr>
        <w:t>任课教师：</w:t>
      </w:r>
      <w:r>
        <w:rPr>
          <w:rFonts w:ascii="宋体" w:eastAsia="宋体" w:hAnsi="宋体" w:cs="微软雅黑" w:hint="eastAsia"/>
          <w:bCs/>
          <w:sz w:val="30"/>
          <w:szCs w:val="30"/>
          <w:u w:val="single"/>
        </w:rPr>
        <w:t xml:space="preserve">张祖群                    </w:t>
      </w:r>
    </w:p>
    <w:p w14:paraId="76CCDD0C" w14:textId="77777777" w:rsidR="003C7E59" w:rsidRDefault="00000000">
      <w:pPr>
        <w:snapToGrid w:val="0"/>
        <w:spacing w:line="300" w:lineRule="auto"/>
        <w:ind w:left="840" w:firstLine="420"/>
        <w:rPr>
          <w:rFonts w:ascii="宋体" w:eastAsia="宋体" w:hAnsi="宋体" w:cs="微软雅黑"/>
          <w:bCs/>
          <w:sz w:val="30"/>
          <w:szCs w:val="30"/>
          <w:u w:val="single"/>
        </w:rPr>
      </w:pPr>
      <w:r>
        <w:rPr>
          <w:rFonts w:ascii="宋体" w:eastAsia="宋体" w:hAnsi="宋体" w:cs="微软雅黑" w:hint="eastAsia"/>
          <w:bCs/>
          <w:sz w:val="30"/>
          <w:szCs w:val="30"/>
        </w:rPr>
        <w:t>评 阅 人：</w:t>
      </w:r>
      <w:r>
        <w:rPr>
          <w:rFonts w:ascii="宋体" w:eastAsia="宋体" w:hAnsi="宋体" w:cs="微软雅黑" w:hint="eastAsia"/>
          <w:bCs/>
          <w:sz w:val="30"/>
          <w:szCs w:val="30"/>
          <w:u w:val="single"/>
        </w:rPr>
        <w:t xml:space="preserve">                 </w:t>
      </w:r>
      <w:r>
        <w:rPr>
          <w:rFonts w:ascii="宋体" w:eastAsia="宋体" w:hAnsi="宋体" w:cs="微软雅黑"/>
          <w:bCs/>
          <w:sz w:val="30"/>
          <w:szCs w:val="30"/>
          <w:u w:val="single"/>
        </w:rPr>
        <w:t xml:space="preserve">        </w:t>
      </w:r>
      <w:bookmarkStart w:id="2" w:name="OLE_LINK27"/>
      <w:bookmarkStart w:id="3" w:name="OLE_LINK26"/>
    </w:p>
    <w:p w14:paraId="2C491D6E" w14:textId="77777777" w:rsidR="003C7E59" w:rsidRDefault="003C7E59">
      <w:pPr>
        <w:snapToGrid w:val="0"/>
        <w:spacing w:line="300" w:lineRule="auto"/>
        <w:rPr>
          <w:rFonts w:ascii="宋体" w:eastAsia="宋体" w:hAnsi="宋体" w:cs="微软雅黑"/>
          <w:bCs/>
          <w:sz w:val="30"/>
          <w:szCs w:val="30"/>
          <w:u w:val="single"/>
        </w:rPr>
      </w:pPr>
    </w:p>
    <w:p w14:paraId="0BFAD969" w14:textId="77777777" w:rsidR="003C7E59" w:rsidRDefault="003C7E59">
      <w:pPr>
        <w:snapToGrid w:val="0"/>
        <w:spacing w:line="300" w:lineRule="auto"/>
        <w:rPr>
          <w:rFonts w:ascii="宋体" w:eastAsia="宋体" w:hAnsi="宋体" w:cs="微软雅黑"/>
          <w:bCs/>
          <w:sz w:val="30"/>
          <w:szCs w:val="30"/>
          <w:u w:val="single"/>
        </w:rPr>
      </w:pPr>
    </w:p>
    <w:p w14:paraId="31733975" w14:textId="77777777" w:rsidR="003C7E59" w:rsidRDefault="003C7E59">
      <w:pPr>
        <w:snapToGrid w:val="0"/>
        <w:spacing w:line="300" w:lineRule="auto"/>
        <w:rPr>
          <w:rFonts w:ascii="宋体" w:eastAsia="宋体" w:hAnsi="宋体" w:cs="微软雅黑"/>
          <w:bCs/>
          <w:sz w:val="30"/>
          <w:szCs w:val="30"/>
          <w:u w:val="single"/>
        </w:rPr>
      </w:pPr>
    </w:p>
    <w:p w14:paraId="2C700CB4" w14:textId="77777777" w:rsidR="003C7E59" w:rsidRDefault="003C7E59">
      <w:pPr>
        <w:snapToGrid w:val="0"/>
        <w:spacing w:line="300" w:lineRule="auto"/>
        <w:rPr>
          <w:rFonts w:ascii="宋体" w:eastAsia="宋体" w:hAnsi="宋体" w:cs="微软雅黑"/>
          <w:bCs/>
          <w:sz w:val="30"/>
          <w:szCs w:val="30"/>
          <w:u w:val="single"/>
        </w:rPr>
      </w:pPr>
    </w:p>
    <w:p w14:paraId="61A42F01" w14:textId="77777777" w:rsidR="003C7E59" w:rsidRDefault="003C7E59">
      <w:pPr>
        <w:snapToGrid w:val="0"/>
        <w:spacing w:line="300" w:lineRule="auto"/>
        <w:rPr>
          <w:rFonts w:ascii="宋体" w:eastAsia="宋体" w:hAnsi="宋体" w:cs="微软雅黑"/>
          <w:bCs/>
          <w:sz w:val="30"/>
          <w:szCs w:val="30"/>
          <w:u w:val="single"/>
        </w:rPr>
      </w:pPr>
    </w:p>
    <w:p w14:paraId="72AC1C7E" w14:textId="77777777" w:rsidR="003C7E59" w:rsidRDefault="003C7E59">
      <w:pPr>
        <w:snapToGrid w:val="0"/>
        <w:spacing w:line="300" w:lineRule="auto"/>
        <w:rPr>
          <w:rFonts w:ascii="宋体" w:eastAsia="宋体" w:hAnsi="宋体" w:cs="微软雅黑"/>
          <w:bCs/>
          <w:sz w:val="30"/>
          <w:szCs w:val="30"/>
          <w:u w:val="single"/>
        </w:rPr>
      </w:pPr>
    </w:p>
    <w:p w14:paraId="4FCDF387" w14:textId="77777777" w:rsidR="003C7E59" w:rsidRDefault="003C7E59">
      <w:pPr>
        <w:snapToGrid w:val="0"/>
        <w:spacing w:line="300" w:lineRule="auto"/>
        <w:rPr>
          <w:rFonts w:ascii="宋体" w:eastAsia="宋体" w:hAnsi="宋体" w:cs="微软雅黑"/>
          <w:bCs/>
          <w:sz w:val="30"/>
          <w:szCs w:val="30"/>
          <w:u w:val="single"/>
        </w:rPr>
      </w:pPr>
    </w:p>
    <w:p w14:paraId="2B044F4C" w14:textId="77777777" w:rsidR="003C7E59" w:rsidRDefault="003C7E59">
      <w:pPr>
        <w:snapToGrid w:val="0"/>
        <w:spacing w:line="300" w:lineRule="auto"/>
        <w:rPr>
          <w:rFonts w:ascii="宋体" w:eastAsia="宋体" w:hAnsi="宋体" w:cs="微软雅黑"/>
          <w:bCs/>
          <w:sz w:val="30"/>
          <w:szCs w:val="30"/>
          <w:u w:val="single"/>
        </w:rPr>
      </w:pPr>
    </w:p>
    <w:p w14:paraId="5F62D480" w14:textId="77777777" w:rsidR="003C7E59" w:rsidRDefault="003C7E59">
      <w:pPr>
        <w:snapToGrid w:val="0"/>
        <w:spacing w:line="300" w:lineRule="auto"/>
        <w:rPr>
          <w:rFonts w:ascii="宋体" w:eastAsia="宋体" w:hAnsi="宋体" w:cs="微软雅黑"/>
          <w:bCs/>
          <w:sz w:val="30"/>
          <w:szCs w:val="30"/>
          <w:u w:val="single"/>
        </w:rPr>
      </w:pPr>
    </w:p>
    <w:p w14:paraId="6D7F0DAF" w14:textId="77777777" w:rsidR="003C7E59" w:rsidRDefault="003C7E59">
      <w:pPr>
        <w:snapToGrid w:val="0"/>
        <w:spacing w:line="300" w:lineRule="auto"/>
        <w:rPr>
          <w:rFonts w:ascii="宋体" w:eastAsia="宋体" w:hAnsi="宋体" w:cs="微软雅黑"/>
          <w:bCs/>
          <w:sz w:val="30"/>
          <w:szCs w:val="30"/>
          <w:u w:val="single"/>
        </w:rPr>
      </w:pPr>
    </w:p>
    <w:p w14:paraId="3E3CF4F3" w14:textId="77777777" w:rsidR="003C7E59" w:rsidRDefault="00000000">
      <w:pPr>
        <w:snapToGrid w:val="0"/>
        <w:spacing w:line="300" w:lineRule="auto"/>
        <w:rPr>
          <w:rFonts w:ascii="宋体" w:eastAsia="宋体" w:hAnsi="宋体"/>
          <w:sz w:val="44"/>
          <w:szCs w:val="44"/>
        </w:rPr>
      </w:pPr>
      <w:r>
        <w:rPr>
          <w:rFonts w:ascii="宋体" w:eastAsia="宋体" w:hAnsi="宋体" w:hint="eastAsia"/>
          <w:sz w:val="44"/>
          <w:szCs w:val="44"/>
        </w:rPr>
        <w:lastRenderedPageBreak/>
        <w:t>新型工业化和新型城镇化的公共文化服务</w:t>
      </w:r>
    </w:p>
    <w:p w14:paraId="438DEA37" w14:textId="77777777" w:rsidR="003C7E59" w:rsidRDefault="00000000">
      <w:pPr>
        <w:snapToGrid w:val="0"/>
        <w:spacing w:line="300" w:lineRule="auto"/>
        <w:ind w:left="840" w:firstLine="420"/>
        <w:rPr>
          <w:rFonts w:ascii="宋体" w:eastAsia="宋体" w:hAnsi="宋体"/>
        </w:rPr>
      </w:pPr>
      <w:r>
        <w:rPr>
          <w:rFonts w:ascii="宋体" w:eastAsia="宋体" w:hAnsi="宋体" w:hint="eastAsia"/>
        </w:rPr>
        <w:t xml:space="preserve">计算机学院 </w:t>
      </w:r>
      <w:r>
        <w:rPr>
          <w:rFonts w:ascii="宋体" w:eastAsia="宋体" w:hAnsi="宋体"/>
        </w:rPr>
        <w:t>08012204</w:t>
      </w:r>
      <w:r>
        <w:rPr>
          <w:rFonts w:ascii="宋体" w:eastAsia="宋体" w:hAnsi="宋体" w:hint="eastAsia"/>
        </w:rPr>
        <w:t xml:space="preserve"> 俞乐楠 </w:t>
      </w:r>
      <w:r>
        <w:rPr>
          <w:rFonts w:ascii="宋体" w:eastAsia="宋体" w:hAnsi="宋体"/>
        </w:rPr>
        <w:t>1120221303</w:t>
      </w:r>
    </w:p>
    <w:p w14:paraId="365F14F3" w14:textId="77777777" w:rsidR="003C7E59" w:rsidRDefault="00000000">
      <w:pPr>
        <w:snapToGrid w:val="0"/>
        <w:spacing w:line="300" w:lineRule="auto"/>
        <w:ind w:left="840" w:firstLine="420"/>
        <w:rPr>
          <w:rFonts w:ascii="宋体" w:eastAsia="宋体" w:hAnsi="宋体"/>
        </w:rPr>
      </w:pPr>
      <w:r>
        <w:rPr>
          <w:rFonts w:ascii="宋体" w:eastAsia="宋体" w:hAnsi="宋体" w:hint="eastAsia"/>
        </w:rPr>
        <w:t xml:space="preserve">计算机学院 </w:t>
      </w:r>
      <w:r>
        <w:rPr>
          <w:rFonts w:ascii="宋体" w:eastAsia="宋体" w:hAnsi="宋体"/>
        </w:rPr>
        <w:t>08012204</w:t>
      </w:r>
      <w:r>
        <w:rPr>
          <w:rFonts w:ascii="宋体" w:eastAsia="宋体" w:hAnsi="宋体" w:hint="eastAsia"/>
        </w:rPr>
        <w:t xml:space="preserve"> 徐文彬 </w:t>
      </w:r>
      <w:r>
        <w:rPr>
          <w:rFonts w:ascii="宋体" w:eastAsia="宋体" w:hAnsi="宋体"/>
        </w:rPr>
        <w:t>1120221397</w:t>
      </w:r>
      <w:bookmarkEnd w:id="2"/>
      <w:bookmarkEnd w:id="3"/>
    </w:p>
    <w:p w14:paraId="78B3875D" w14:textId="77777777" w:rsidR="003C7E59" w:rsidRDefault="003C7E59">
      <w:pPr>
        <w:snapToGrid w:val="0"/>
        <w:spacing w:line="300" w:lineRule="auto"/>
        <w:ind w:left="840" w:firstLine="420"/>
        <w:rPr>
          <w:rFonts w:ascii="宋体" w:eastAsia="宋体" w:hAnsi="宋体"/>
        </w:rPr>
      </w:pPr>
    </w:p>
    <w:p w14:paraId="1A5CF9DE" w14:textId="77777777" w:rsidR="003C7E59" w:rsidRDefault="00000000">
      <w:pPr>
        <w:snapToGrid w:val="0"/>
        <w:spacing w:line="300" w:lineRule="auto"/>
        <w:rPr>
          <w:rFonts w:ascii="宋体" w:eastAsia="宋体" w:hAnsi="宋体"/>
        </w:rPr>
      </w:pPr>
      <w:r>
        <w:rPr>
          <w:rFonts w:ascii="宋体" w:eastAsia="宋体" w:hAnsi="宋体"/>
          <w:b/>
          <w:bCs/>
        </w:rPr>
        <w:t>[</w:t>
      </w:r>
      <w:r>
        <w:rPr>
          <w:rFonts w:ascii="宋体" w:eastAsia="宋体" w:hAnsi="宋体" w:hint="eastAsia"/>
          <w:b/>
          <w:bCs/>
        </w:rPr>
        <w:t>摘要</w:t>
      </w:r>
      <w:r>
        <w:rPr>
          <w:rFonts w:ascii="宋体" w:eastAsia="宋体" w:hAnsi="宋体"/>
          <w:b/>
          <w:bCs/>
        </w:rPr>
        <w:t>]</w:t>
      </w:r>
      <w:r>
        <w:rPr>
          <w:rFonts w:ascii="宋体" w:eastAsia="宋体" w:hAnsi="宋体" w:hint="eastAsia"/>
        </w:rPr>
        <w:t>：本文探讨了新型工业化和新型城镇化背景下的公共文化服务现状及其政策短板，并提出改进建议。首先，文章定义并分析了新型工业化和新型城镇化的特征、目标及其重要性，阐述了公共文化服务的概念及其在社会发展中的作用。接着，通过梳理公共文化服务政策的演变历史、主要政策文件与实施细则，深入分析了现有政策的不足之处及政策执行中的问题与挑战。文章进一步对公共文化服务的投入现状进行统计与分析，聚焦于图书馆、美术馆、群众艺术馆的投入数据及典型案例，评估其成效，并总结经验。随后，选取了多个城市的典型公共文化服务案例，详细分析其背景、服务内容及成效，并总结其成功经验。</w:t>
      </w:r>
    </w:p>
    <w:p w14:paraId="7BEA6F85" w14:textId="77777777" w:rsidR="003C7E59" w:rsidRDefault="00000000">
      <w:pPr>
        <w:snapToGrid w:val="0"/>
        <w:spacing w:line="300" w:lineRule="auto"/>
        <w:rPr>
          <w:rFonts w:ascii="宋体" w:eastAsia="宋体" w:hAnsi="宋体"/>
        </w:rPr>
      </w:pPr>
      <w:r>
        <w:rPr>
          <w:rFonts w:ascii="宋体" w:eastAsia="宋体" w:hAnsi="宋体" w:hint="eastAsia"/>
        </w:rPr>
        <w:t>在此基础上，本文提出了公共文化服务政策改进的方向，针对政策短板提出具体的优化建议，包括提高公共文化服务的投入、加强推广和普及、建立健全评价体系等。最后，总结了新型工业化和新型城镇化过程中公共文化服务的现状及问题，展望了未来发展的方向和重点，展望了公共文化服务在新型工业化和新型城镇化中的发展前景。通过本文的研究，旨在为公共文化服务政策的改进提供参考，</w:t>
      </w:r>
      <w:proofErr w:type="gramStart"/>
      <w:r>
        <w:rPr>
          <w:rFonts w:ascii="宋体" w:eastAsia="宋体" w:hAnsi="宋体" w:hint="eastAsia"/>
        </w:rPr>
        <w:t>助力新型</w:t>
      </w:r>
      <w:proofErr w:type="gramEnd"/>
      <w:r>
        <w:rPr>
          <w:rFonts w:ascii="宋体" w:eastAsia="宋体" w:hAnsi="宋体" w:hint="eastAsia"/>
        </w:rPr>
        <w:t>工业化和新型城镇化的健康发展。</w:t>
      </w:r>
    </w:p>
    <w:p w14:paraId="6BC53228" w14:textId="77777777" w:rsidR="003C7E59" w:rsidRDefault="003C7E59">
      <w:pPr>
        <w:snapToGrid w:val="0"/>
        <w:spacing w:line="300" w:lineRule="auto"/>
        <w:rPr>
          <w:rFonts w:ascii="宋体" w:eastAsia="宋体" w:hAnsi="宋体"/>
        </w:rPr>
      </w:pPr>
    </w:p>
    <w:p w14:paraId="072217A7" w14:textId="77777777" w:rsidR="003C7E59" w:rsidRDefault="00000000">
      <w:pPr>
        <w:snapToGrid w:val="0"/>
        <w:spacing w:line="300" w:lineRule="auto"/>
        <w:rPr>
          <w:rFonts w:ascii="宋体" w:eastAsia="宋体" w:hAnsi="宋体"/>
        </w:rPr>
      </w:pPr>
      <w:r>
        <w:rPr>
          <w:rFonts w:ascii="宋体" w:eastAsia="宋体" w:hAnsi="宋体" w:hint="eastAsia"/>
          <w:b/>
          <w:bCs/>
        </w:rPr>
        <w:t>关键词</w:t>
      </w:r>
      <w:r>
        <w:rPr>
          <w:rFonts w:ascii="宋体" w:eastAsia="宋体" w:hAnsi="宋体" w:hint="eastAsia"/>
        </w:rPr>
        <w:t>：新型工业化；新型城镇化；公共文化服务；</w:t>
      </w:r>
      <w:bookmarkStart w:id="4" w:name="_Hlk170303720"/>
      <w:r>
        <w:rPr>
          <w:rFonts w:ascii="宋体" w:eastAsia="宋体" w:hAnsi="宋体" w:hint="eastAsia"/>
        </w:rPr>
        <w:t>未来展望</w:t>
      </w:r>
      <w:bookmarkEnd w:id="4"/>
    </w:p>
    <w:p w14:paraId="41F22388" w14:textId="77777777" w:rsidR="003C7E59" w:rsidRDefault="003C7E59">
      <w:pPr>
        <w:snapToGrid w:val="0"/>
        <w:spacing w:line="300" w:lineRule="auto"/>
        <w:rPr>
          <w:rFonts w:ascii="宋体" w:eastAsia="宋体" w:hAnsi="宋体"/>
        </w:rPr>
      </w:pPr>
    </w:p>
    <w:p w14:paraId="0149E549" w14:textId="77777777" w:rsidR="003C7E59" w:rsidRDefault="00000000">
      <w:pPr>
        <w:snapToGrid w:val="0"/>
        <w:spacing w:line="300" w:lineRule="auto"/>
        <w:rPr>
          <w:rFonts w:ascii="宋体" w:eastAsia="宋体" w:hAnsi="宋体"/>
          <w:b/>
        </w:rPr>
      </w:pPr>
      <w:r>
        <w:rPr>
          <w:rFonts w:ascii="宋体" w:eastAsia="宋体" w:hAnsi="宋体" w:hint="eastAsia"/>
          <w:b/>
        </w:rPr>
        <w:t>一、引言</w:t>
      </w:r>
    </w:p>
    <w:p w14:paraId="0AEDE2EF" w14:textId="77777777" w:rsidR="003C7E59" w:rsidRDefault="00000000">
      <w:pPr>
        <w:snapToGrid w:val="0"/>
        <w:spacing w:line="300" w:lineRule="auto"/>
        <w:rPr>
          <w:rFonts w:ascii="宋体" w:eastAsia="宋体" w:hAnsi="宋体"/>
          <w:b/>
        </w:rPr>
      </w:pPr>
      <w:r>
        <w:rPr>
          <w:rFonts w:ascii="宋体" w:eastAsia="宋体" w:hAnsi="宋体" w:hint="eastAsia"/>
          <w:b/>
        </w:rPr>
        <w:t>（一）研究背景</w:t>
      </w:r>
    </w:p>
    <w:p w14:paraId="6327B441" w14:textId="77777777" w:rsidR="003C7E59" w:rsidRDefault="00000000">
      <w:pPr>
        <w:snapToGrid w:val="0"/>
        <w:spacing w:line="300" w:lineRule="auto"/>
        <w:ind w:firstLineChars="200" w:firstLine="480"/>
        <w:rPr>
          <w:rFonts w:ascii="宋体" w:eastAsia="宋体" w:hAnsi="宋体"/>
        </w:rPr>
      </w:pPr>
      <w:r>
        <w:rPr>
          <w:rFonts w:ascii="宋体" w:eastAsia="宋体" w:hAnsi="宋体" w:hint="eastAsia"/>
        </w:rPr>
        <w:t>新型工业化是指在信息化、智能化、绿色化等现代科技的推动下，工业生产方式、管理模式和发展模式的转变与升级。它不仅关注生产效率的提高，还注重资源的可持续利用和环境保护。新型城镇化则是以人为本的城镇化模式，强调城乡统筹发展，提升城镇化质量，改善人居环境，促进社会和谐。新型工业化和新型城镇化作为国家现代化建设的重要内容，关系到经济社会的全面发展和人民生活水平的提升。公共文化服务是指政府或公共机构通过提供文化设施、文化活动、文化产品等，满足人民群众的基本文化需求，提升全民文化素养和社会文明程度的服务。它在社会发展中具有重要作用，不仅能够丰富人民的精神文化生活，还能促进社会和谐，增强国家的文化软实力。在新型工业化和新型城镇化的背景下，公共文化服务的地位愈加凸显，成为提升城市品质、优化人居环境的重要组成部分。</w:t>
      </w:r>
    </w:p>
    <w:p w14:paraId="053B0742" w14:textId="77777777" w:rsidR="003C7E59" w:rsidRDefault="00000000">
      <w:pPr>
        <w:snapToGrid w:val="0"/>
        <w:spacing w:line="300" w:lineRule="auto"/>
        <w:rPr>
          <w:rFonts w:ascii="宋体" w:eastAsia="宋体" w:hAnsi="宋体"/>
          <w:b/>
        </w:rPr>
      </w:pPr>
      <w:r>
        <w:rPr>
          <w:rFonts w:ascii="宋体" w:eastAsia="宋体" w:hAnsi="宋体" w:hint="eastAsia"/>
          <w:b/>
        </w:rPr>
        <w:lastRenderedPageBreak/>
        <w:t>（二）研究意义</w:t>
      </w:r>
    </w:p>
    <w:p w14:paraId="44921E7B" w14:textId="77777777" w:rsidR="003C7E59" w:rsidRDefault="00000000">
      <w:pPr>
        <w:snapToGrid w:val="0"/>
        <w:spacing w:line="300" w:lineRule="auto"/>
        <w:ind w:firstLineChars="200" w:firstLine="480"/>
        <w:rPr>
          <w:rFonts w:ascii="宋体" w:eastAsia="宋体" w:hAnsi="宋体"/>
        </w:rPr>
      </w:pPr>
      <w:r>
        <w:rPr>
          <w:rFonts w:ascii="宋体" w:eastAsia="宋体" w:hAnsi="宋体" w:hint="eastAsia"/>
        </w:rPr>
        <w:t>研究公共文化服务在新型工业化和新型城镇化中的地位和作用，可以揭示其在提升城市品质、促进社会和谐、推动经济发展的具体贡献，有助于深化对公共文化服务重要性的认识。通过对现有公共文化服务政策的梳理与分析，揭示其不足之处，探讨政策执行中的问题与挑战，提出切实可行的改进建议，为政策制定者提供参考，</w:t>
      </w:r>
      <w:proofErr w:type="gramStart"/>
      <w:r>
        <w:rPr>
          <w:rFonts w:ascii="宋体" w:eastAsia="宋体" w:hAnsi="宋体" w:hint="eastAsia"/>
        </w:rPr>
        <w:t>助力新型</w:t>
      </w:r>
      <w:proofErr w:type="gramEnd"/>
      <w:r>
        <w:rPr>
          <w:rFonts w:ascii="宋体" w:eastAsia="宋体" w:hAnsi="宋体" w:hint="eastAsia"/>
        </w:rPr>
        <w:t>工业化和新型城镇化的健康发展。</w:t>
      </w:r>
    </w:p>
    <w:p w14:paraId="34A834AB" w14:textId="77777777" w:rsidR="003C7E59" w:rsidRDefault="00000000">
      <w:pPr>
        <w:snapToGrid w:val="0"/>
        <w:spacing w:line="300" w:lineRule="auto"/>
        <w:ind w:firstLineChars="200" w:firstLine="480"/>
        <w:rPr>
          <w:rFonts w:ascii="宋体" w:eastAsia="宋体" w:hAnsi="宋体"/>
        </w:rPr>
      </w:pPr>
      <w:r>
        <w:rPr>
          <w:rFonts w:ascii="宋体" w:eastAsia="宋体" w:hAnsi="宋体"/>
        </w:rPr>
        <w:t>本研究旨在通过系统分析新型工业化和新型城镇化背景下的公共文化服务现状及其政策短板，提出改进建议，为提升公共文化服务水平、推动新型工业化和新型城镇化的进程提供理论支持和实践指导。</w:t>
      </w:r>
    </w:p>
    <w:p w14:paraId="33F951BF" w14:textId="77777777" w:rsidR="003C7E59" w:rsidRDefault="00000000">
      <w:pPr>
        <w:snapToGrid w:val="0"/>
        <w:spacing w:line="300" w:lineRule="auto"/>
        <w:rPr>
          <w:rFonts w:ascii="宋体" w:eastAsia="宋体" w:hAnsi="宋体"/>
          <w:b/>
        </w:rPr>
      </w:pPr>
      <w:r>
        <w:rPr>
          <w:rFonts w:ascii="宋体" w:eastAsia="宋体" w:hAnsi="宋体" w:hint="eastAsia"/>
          <w:b/>
        </w:rPr>
        <w:t>二、新型工业化与新型城镇化概述</w:t>
      </w:r>
    </w:p>
    <w:p w14:paraId="7EC1ED1E" w14:textId="77777777" w:rsidR="003C7E59" w:rsidRDefault="00000000">
      <w:pPr>
        <w:snapToGrid w:val="0"/>
        <w:spacing w:line="300" w:lineRule="auto"/>
        <w:rPr>
          <w:rFonts w:ascii="宋体" w:eastAsia="宋体" w:hAnsi="宋体"/>
          <w:b/>
        </w:rPr>
      </w:pPr>
      <w:r>
        <w:rPr>
          <w:rFonts w:ascii="宋体" w:eastAsia="宋体" w:hAnsi="宋体" w:hint="eastAsia"/>
          <w:b/>
        </w:rPr>
        <w:t>（一）新型工业化概述</w:t>
      </w:r>
    </w:p>
    <w:p w14:paraId="70B284D7" w14:textId="77777777" w:rsidR="003C7E59" w:rsidRDefault="00000000">
      <w:pPr>
        <w:snapToGrid w:val="0"/>
        <w:spacing w:line="300" w:lineRule="auto"/>
        <w:ind w:firstLineChars="200" w:firstLine="480"/>
        <w:rPr>
          <w:rFonts w:ascii="宋体" w:eastAsia="宋体" w:hAnsi="宋体"/>
        </w:rPr>
      </w:pPr>
      <w:r>
        <w:rPr>
          <w:rFonts w:ascii="宋体" w:eastAsia="宋体" w:hAnsi="宋体" w:hint="eastAsia"/>
        </w:rPr>
        <w:t>新型工业化是指在全球化、信息化和绿色发展的背景下，推动工业生产方式、管理模式和发展模式的全面升级。其主要特征包括智能制造、绿色生产、高效利用资源、以及与信息技术的深度融合。新型工业化的目标是实现高质量、高效率、低消耗、低排放的发展模式，增强工业竞争力，实现可持续发展。</w:t>
      </w:r>
    </w:p>
    <w:p w14:paraId="0B9F3082" w14:textId="77777777" w:rsidR="003C7E59" w:rsidRDefault="00000000">
      <w:pPr>
        <w:snapToGrid w:val="0"/>
        <w:spacing w:line="300" w:lineRule="auto"/>
        <w:ind w:firstLineChars="200" w:firstLine="480"/>
        <w:rPr>
          <w:rFonts w:ascii="宋体" w:eastAsia="宋体" w:hAnsi="宋体"/>
        </w:rPr>
      </w:pPr>
      <w:r>
        <w:rPr>
          <w:rFonts w:ascii="宋体" w:eastAsia="宋体" w:hAnsi="宋体" w:hint="eastAsia"/>
        </w:rPr>
        <w:t>随着科技的不断进步，新型工业化在全球范围内蓬勃发展。当前，许多国家和地区通过加大科技创新投入，推动传统工业向智能化、数字化转型。工业机器人、人工智能、大数据等新技术的应用，极大地提升了生产效率和产品质量。同时，绿色制造和循环经济理念的推广，促进了资源的高效利用和环境保护。未来，新型工业化将进一步向智能化、绿色化、融合化方向发展，不断提升工业的整体水平和国际竞争力。</w:t>
      </w:r>
    </w:p>
    <w:p w14:paraId="75149D33" w14:textId="77777777" w:rsidR="003C7E59" w:rsidRDefault="00000000">
      <w:pPr>
        <w:snapToGrid w:val="0"/>
        <w:spacing w:line="300" w:lineRule="auto"/>
        <w:rPr>
          <w:rFonts w:ascii="宋体" w:eastAsia="宋体" w:hAnsi="宋体"/>
          <w:b/>
        </w:rPr>
      </w:pPr>
      <w:r>
        <w:rPr>
          <w:rFonts w:ascii="宋体" w:eastAsia="宋体" w:hAnsi="宋体" w:hint="eastAsia"/>
          <w:b/>
        </w:rPr>
        <w:t>（二）新型城镇化概述</w:t>
      </w:r>
    </w:p>
    <w:p w14:paraId="32DFB3A6" w14:textId="77777777" w:rsidR="003C7E59" w:rsidRDefault="00000000">
      <w:pPr>
        <w:snapToGrid w:val="0"/>
        <w:spacing w:line="300" w:lineRule="auto"/>
        <w:ind w:firstLineChars="200" w:firstLine="480"/>
        <w:rPr>
          <w:rFonts w:ascii="宋体" w:eastAsia="宋体" w:hAnsi="宋体"/>
        </w:rPr>
      </w:pPr>
      <w:r>
        <w:rPr>
          <w:rFonts w:ascii="宋体" w:eastAsia="宋体" w:hAnsi="宋体"/>
        </w:rPr>
        <w:t>新型城镇化是以人为本的城镇化模式，强调城乡统筹发展，注重提升城镇</w:t>
      </w:r>
      <w:proofErr w:type="gramStart"/>
      <w:r>
        <w:rPr>
          <w:rFonts w:ascii="宋体" w:eastAsia="宋体" w:hAnsi="宋体"/>
        </w:rPr>
        <w:t>化质量</w:t>
      </w:r>
      <w:proofErr w:type="gramEnd"/>
      <w:r>
        <w:rPr>
          <w:rFonts w:ascii="宋体" w:eastAsia="宋体" w:hAnsi="宋体"/>
        </w:rPr>
        <w:t>和改善人居环境。其内涵包括以人的城镇化为核心，注重人的全面发展和社会公平，促进城乡基本公共服务均等化。新型城镇化的特征主要表现为：以生态文明建设为引领，实现绿色发展；以提高生活质量为目标，建设宜居城市；以提升治理能力为重点，推进精细化管理和智慧城市建设。</w:t>
      </w:r>
    </w:p>
    <w:p w14:paraId="4AFBC68A" w14:textId="77777777" w:rsidR="003C7E59" w:rsidRDefault="00000000">
      <w:pPr>
        <w:snapToGrid w:val="0"/>
        <w:spacing w:line="300" w:lineRule="auto"/>
        <w:ind w:firstLineChars="200" w:firstLine="480"/>
        <w:rPr>
          <w:rFonts w:ascii="宋体" w:eastAsia="宋体" w:hAnsi="宋体"/>
        </w:rPr>
      </w:pPr>
      <w:r>
        <w:rPr>
          <w:rFonts w:ascii="宋体" w:eastAsia="宋体" w:hAnsi="宋体"/>
        </w:rPr>
        <w:t>近年来，我国新型城镇化进程加快，城镇化率不断提升，城镇</w:t>
      </w:r>
      <w:proofErr w:type="gramStart"/>
      <w:r>
        <w:rPr>
          <w:rFonts w:ascii="宋体" w:eastAsia="宋体" w:hAnsi="宋体"/>
        </w:rPr>
        <w:t>化质量</w:t>
      </w:r>
      <w:proofErr w:type="gramEnd"/>
      <w:r>
        <w:rPr>
          <w:rFonts w:ascii="宋体" w:eastAsia="宋体" w:hAnsi="宋体"/>
        </w:rPr>
        <w:t>显著提高。各地在推进新型城镇化过程中，注重提升基础设施和公共服务水平，改善居民生活环境，促进产业转型升级。绿色建筑、智慧城市、海绵城市等新理念和新技术的应用，极大地提升了城镇的</w:t>
      </w:r>
      <w:proofErr w:type="gramStart"/>
      <w:r>
        <w:rPr>
          <w:rFonts w:ascii="宋体" w:eastAsia="宋体" w:hAnsi="宋体"/>
        </w:rPr>
        <w:t>宜居性和</w:t>
      </w:r>
      <w:proofErr w:type="gramEnd"/>
      <w:r>
        <w:rPr>
          <w:rFonts w:ascii="宋体" w:eastAsia="宋体" w:hAnsi="宋体"/>
        </w:rPr>
        <w:t>可持续发展能力。与此同时，城乡一体化进程加快，农村基础设施和公共服务不断完善，城乡差距逐步缩小。未来，新型城镇化将继续深化改革，创新体制机制，推动城乡融合发展，提升城镇</w:t>
      </w:r>
      <w:proofErr w:type="gramStart"/>
      <w:r>
        <w:rPr>
          <w:rFonts w:ascii="宋体" w:eastAsia="宋体" w:hAnsi="宋体"/>
        </w:rPr>
        <w:t>化质量</w:t>
      </w:r>
      <w:proofErr w:type="gramEnd"/>
      <w:r>
        <w:rPr>
          <w:rFonts w:ascii="宋体" w:eastAsia="宋体" w:hAnsi="宋体"/>
        </w:rPr>
        <w:t>和水平。</w:t>
      </w:r>
    </w:p>
    <w:p w14:paraId="37FC70CD" w14:textId="77777777" w:rsidR="003C7E59" w:rsidRPr="001D6AA3" w:rsidRDefault="00000000">
      <w:pPr>
        <w:snapToGrid w:val="0"/>
        <w:spacing w:line="300" w:lineRule="auto"/>
        <w:ind w:firstLineChars="200" w:firstLine="480"/>
        <w:rPr>
          <w:rFonts w:ascii="宋体" w:eastAsia="宋体" w:hAnsi="宋体" w:cs="宋体"/>
          <w:color w:val="7030A0"/>
        </w:rPr>
      </w:pPr>
      <w:r w:rsidRPr="001D6AA3">
        <w:rPr>
          <w:rFonts w:ascii="宋体" w:eastAsia="宋体" w:hAnsi="宋体" w:cs="宋体" w:hint="eastAsia"/>
          <w:color w:val="7030A0"/>
        </w:rPr>
        <w:lastRenderedPageBreak/>
        <w:t>根据《国家新型城镇化规划</w:t>
      </w:r>
      <w:r w:rsidRPr="001D6AA3">
        <w:rPr>
          <w:rFonts w:ascii="宋体" w:eastAsia="宋体" w:hAnsi="宋体" w:cs="宋体"/>
          <w:color w:val="7030A0"/>
        </w:rPr>
        <w:t>(2014—2020年)》，新型城镇化的重点是解决农业转移人口市民化问题，提升城市综合承载能力，促进城乡协调发展。而在《国家新型城镇化规划(2021-2035)》中，强调了创新驱动发展，推动智慧城市建设和城乡融合发展，提升城市品质和居民生活质量。同时，2022年7月国家发展改革委印发的《“十四五”新型城镇化实施方案》提出，进一步加强城镇基础设施建设，提升公共服务水平，推动城市绿色低碳发展，促进城乡一体化进程。</w:t>
      </w:r>
    </w:p>
    <w:p w14:paraId="6A804C0D" w14:textId="77777777" w:rsidR="003C7E59" w:rsidRPr="001D6AA3" w:rsidRDefault="00000000">
      <w:pPr>
        <w:snapToGrid w:val="0"/>
        <w:spacing w:line="300" w:lineRule="auto"/>
        <w:ind w:firstLineChars="200" w:firstLine="480"/>
        <w:rPr>
          <w:rFonts w:ascii="宋体" w:eastAsia="宋体" w:hAnsi="宋体" w:cs="宋体"/>
          <w:color w:val="7030A0"/>
        </w:rPr>
      </w:pPr>
      <w:r w:rsidRPr="001D6AA3">
        <w:rPr>
          <w:rFonts w:ascii="宋体" w:eastAsia="宋体" w:hAnsi="宋体" w:cs="宋体" w:hint="eastAsia"/>
          <w:color w:val="7030A0"/>
        </w:rPr>
        <w:t>未来，新型城镇化将继续深化改革，创新体制机制，推动城乡融合发展，提升城镇</w:t>
      </w:r>
      <w:proofErr w:type="gramStart"/>
      <w:r w:rsidRPr="001D6AA3">
        <w:rPr>
          <w:rFonts w:ascii="宋体" w:eastAsia="宋体" w:hAnsi="宋体" w:cs="宋体" w:hint="eastAsia"/>
          <w:color w:val="7030A0"/>
        </w:rPr>
        <w:t>化质量</w:t>
      </w:r>
      <w:proofErr w:type="gramEnd"/>
      <w:r w:rsidRPr="001D6AA3">
        <w:rPr>
          <w:rFonts w:ascii="宋体" w:eastAsia="宋体" w:hAnsi="宋体" w:cs="宋体" w:hint="eastAsia"/>
          <w:color w:val="7030A0"/>
        </w:rPr>
        <w:t>和水平。</w:t>
      </w:r>
    </w:p>
    <w:p w14:paraId="56F277EC" w14:textId="77777777" w:rsidR="003C7E59" w:rsidRDefault="00000000">
      <w:pPr>
        <w:numPr>
          <w:ilvl w:val="0"/>
          <w:numId w:val="1"/>
        </w:numPr>
        <w:snapToGrid w:val="0"/>
        <w:spacing w:line="300" w:lineRule="auto"/>
        <w:rPr>
          <w:rFonts w:ascii="宋体" w:eastAsia="宋体" w:hAnsi="宋体"/>
          <w:b/>
        </w:rPr>
      </w:pPr>
      <w:r>
        <w:rPr>
          <w:rFonts w:ascii="宋体" w:eastAsia="宋体" w:hAnsi="宋体" w:hint="eastAsia"/>
          <w:b/>
        </w:rPr>
        <w:t>公共文化服务政策分析</w:t>
      </w:r>
    </w:p>
    <w:p w14:paraId="2EEF7379" w14:textId="77777777" w:rsidR="003C7E59" w:rsidRDefault="00000000">
      <w:pPr>
        <w:snapToGrid w:val="0"/>
        <w:spacing w:line="300" w:lineRule="auto"/>
        <w:rPr>
          <w:rFonts w:ascii="宋体" w:eastAsia="宋体" w:hAnsi="宋体"/>
          <w:b/>
        </w:rPr>
      </w:pPr>
      <w:bookmarkStart w:id="5" w:name="_Hlk166938304"/>
      <w:r>
        <w:rPr>
          <w:rFonts w:ascii="宋体" w:eastAsia="宋体" w:hAnsi="宋体" w:hint="eastAsia"/>
          <w:b/>
        </w:rPr>
        <w:t>（一）公共文化服务的概念与内涵</w:t>
      </w:r>
    </w:p>
    <w:p w14:paraId="332DC186" w14:textId="77777777" w:rsidR="003C7E59" w:rsidRDefault="00000000">
      <w:pPr>
        <w:snapToGrid w:val="0"/>
        <w:spacing w:line="300" w:lineRule="auto"/>
        <w:ind w:firstLineChars="200" w:firstLine="480"/>
        <w:rPr>
          <w:rFonts w:ascii="宋体" w:eastAsia="宋体" w:hAnsi="宋体"/>
        </w:rPr>
      </w:pPr>
      <w:r>
        <w:rPr>
          <w:rFonts w:ascii="宋体" w:eastAsia="宋体" w:hAnsi="宋体" w:hint="eastAsia"/>
        </w:rPr>
        <w:t>公共文化服务是指政府或公共机构通过提供文化设施、文化活动、文化产品等形式，向全社会提供的文化服务。这些服务旨在满足人民群众的基本文化需求，提升文化素养和社会文明程度。公共文化服务的范畴包括但不限于图书馆、美术馆、群众艺术馆、文化中心、公共演出、文化培训和教育等。</w:t>
      </w:r>
    </w:p>
    <w:p w14:paraId="7D65FFFA" w14:textId="77777777" w:rsidR="003C7E59" w:rsidRDefault="00000000">
      <w:pPr>
        <w:snapToGrid w:val="0"/>
        <w:spacing w:line="300" w:lineRule="auto"/>
        <w:ind w:firstLineChars="200" w:firstLine="480"/>
        <w:rPr>
          <w:rFonts w:ascii="宋体" w:eastAsia="宋体" w:hAnsi="宋体"/>
        </w:rPr>
      </w:pPr>
      <w:r>
        <w:rPr>
          <w:rFonts w:ascii="宋体" w:eastAsia="宋体" w:hAnsi="宋体" w:hint="eastAsia"/>
        </w:rPr>
        <w:t>公共文化服务在社会发展中发挥着重要作用。首先，它能够丰富人民的精神文化生活，满足群众多样化的文化需求。其次，它可以促进社会和谐，增强社会凝聚力和文化认同感。此外，公共文化服务还有助于提升国民素质，培养文化自信，推动文化产业的发展，从而增强国家的文化软实力。</w:t>
      </w:r>
    </w:p>
    <w:p w14:paraId="4D1A12E7" w14:textId="77777777" w:rsidR="003C7E59" w:rsidRDefault="00000000">
      <w:pPr>
        <w:snapToGrid w:val="0"/>
        <w:spacing w:line="300" w:lineRule="auto"/>
        <w:rPr>
          <w:rFonts w:ascii="宋体" w:eastAsia="宋体" w:hAnsi="宋体"/>
          <w:b/>
        </w:rPr>
      </w:pPr>
      <w:r>
        <w:rPr>
          <w:rFonts w:ascii="宋体" w:eastAsia="宋体" w:hAnsi="宋体" w:hint="eastAsia"/>
          <w:b/>
        </w:rPr>
        <w:t>（二）公共文化服务政策梳理</w:t>
      </w:r>
    </w:p>
    <w:p w14:paraId="7C541622" w14:textId="77777777" w:rsidR="003C7E59" w:rsidRDefault="00000000">
      <w:pPr>
        <w:snapToGrid w:val="0"/>
        <w:spacing w:line="300" w:lineRule="auto"/>
        <w:ind w:firstLineChars="200" w:firstLine="480"/>
        <w:rPr>
          <w:rFonts w:ascii="宋体" w:eastAsia="宋体" w:hAnsi="宋体"/>
        </w:rPr>
      </w:pPr>
      <w:r>
        <w:rPr>
          <w:rFonts w:ascii="宋体" w:eastAsia="宋体" w:hAnsi="宋体" w:hint="eastAsia"/>
        </w:rPr>
        <w:t>公共文化服务政策的发展经历了多个阶段。早期的公共文化服务主要集中在基础设施的建设和基本服务的提供。随着社会的进步和需求的变化，政策逐步向提升服务质量和扩大服务范围方向发展。近年来，随着新型工业化和新型城镇化的推进，公共文化服务政策更加注重城乡均衡发展、服务的多样性和创新性，以及服务体系的完善和优化。</w:t>
      </w:r>
    </w:p>
    <w:p w14:paraId="40E21DF9" w14:textId="77777777" w:rsidR="003C7E59" w:rsidRPr="001D6AA3" w:rsidRDefault="00000000">
      <w:pPr>
        <w:snapToGrid w:val="0"/>
        <w:spacing w:line="300" w:lineRule="auto"/>
        <w:ind w:firstLineChars="200" w:firstLine="480"/>
        <w:rPr>
          <w:rFonts w:ascii="宋体" w:eastAsia="宋体" w:hAnsi="宋体" w:cs="宋体"/>
          <w:color w:val="7030A0"/>
        </w:rPr>
      </w:pPr>
      <w:r>
        <w:rPr>
          <w:rFonts w:ascii="宋体" w:eastAsia="宋体" w:hAnsi="宋体" w:hint="eastAsia"/>
        </w:rPr>
        <w:t>主要政策文件包括《中华人民共和国公共文化服务保障法（2016年）》、《“十四五”公共文化服务体系建设规划（2021年）》等。这些文件从立法、规划、指导等多个层面，为公共文化服务提供了政策依据和实施细则，明确了服</w:t>
      </w:r>
      <w:r w:rsidRPr="001D6AA3">
        <w:rPr>
          <w:rFonts w:ascii="宋体" w:eastAsia="宋体" w:hAnsi="宋体" w:cs="宋体" w:hint="eastAsia"/>
          <w:color w:val="7030A0"/>
        </w:rPr>
        <w:t>务目标、内容和保障措施，推动了公共文化服务的系统化和规范化。</w:t>
      </w:r>
    </w:p>
    <w:p w14:paraId="3DA4AA9B" w14:textId="77777777" w:rsidR="003C7E59" w:rsidRPr="001D6AA3" w:rsidRDefault="00000000">
      <w:pPr>
        <w:snapToGrid w:val="0"/>
        <w:spacing w:line="300" w:lineRule="auto"/>
        <w:ind w:firstLineChars="200" w:firstLine="480"/>
        <w:rPr>
          <w:rFonts w:ascii="宋体" w:eastAsia="宋体" w:hAnsi="宋体" w:cs="宋体"/>
          <w:color w:val="7030A0"/>
        </w:rPr>
      </w:pPr>
      <w:r w:rsidRPr="001D6AA3">
        <w:rPr>
          <w:rFonts w:ascii="宋体" w:eastAsia="宋体" w:hAnsi="宋体" w:cs="宋体" w:hint="eastAsia"/>
          <w:color w:val="7030A0"/>
        </w:rPr>
        <w:t>在《国家新型城镇化规划</w:t>
      </w:r>
      <w:r w:rsidRPr="001D6AA3">
        <w:rPr>
          <w:rFonts w:ascii="宋体" w:eastAsia="宋体" w:hAnsi="宋体" w:cs="宋体"/>
          <w:color w:val="7030A0"/>
        </w:rPr>
        <w:t>(2014—2020年)》中，公共文化服务的重点是解决城乡公共文化服务资源分布不均的问题，着力提升农村和小城镇的文化服务水平，推动城乡公共文化服务的均衡发展。《国家新型城镇化规划(2021-2035)》则进一步强调了公共文化服务的多样性和创新性，提出要建设更高水平的城乡公共文化服务体系，满足人民群众多层次、多样化的文化需求。2022年7月国家发展改革委印发的《“十四五”新型城镇化实施方案》则突出强调了公共文化服</w:t>
      </w:r>
      <w:r w:rsidRPr="001D6AA3">
        <w:rPr>
          <w:rFonts w:ascii="宋体" w:eastAsia="宋体" w:hAnsi="宋体" w:cs="宋体"/>
          <w:color w:val="7030A0"/>
        </w:rPr>
        <w:lastRenderedPageBreak/>
        <w:t>务的体系化建设，进一步完善公共文化服务网络，提升服务的覆盖面和便捷性，加强智</w:t>
      </w:r>
      <w:r w:rsidRPr="001D6AA3">
        <w:rPr>
          <w:rFonts w:ascii="宋体" w:eastAsia="宋体" w:hAnsi="宋体" w:cs="宋体" w:hint="eastAsia"/>
          <w:color w:val="7030A0"/>
        </w:rPr>
        <w:t>慧文化服务的创新与应用，推动公共文化服务的高质量发展。</w:t>
      </w:r>
    </w:p>
    <w:p w14:paraId="7131CB48" w14:textId="77777777" w:rsidR="003C7E59" w:rsidRPr="001D6AA3" w:rsidRDefault="00000000">
      <w:pPr>
        <w:snapToGrid w:val="0"/>
        <w:spacing w:line="300" w:lineRule="auto"/>
        <w:ind w:firstLineChars="200" w:firstLine="480"/>
        <w:rPr>
          <w:rFonts w:ascii="宋体" w:eastAsia="宋体" w:hAnsi="宋体" w:cs="宋体"/>
          <w:color w:val="7030A0"/>
        </w:rPr>
      </w:pPr>
      <w:r w:rsidRPr="001D6AA3">
        <w:rPr>
          <w:rFonts w:ascii="宋体" w:eastAsia="宋体" w:hAnsi="宋体" w:cs="宋体" w:hint="eastAsia"/>
          <w:color w:val="7030A0"/>
        </w:rPr>
        <w:t>通过这些政策文件的实施，公共文化服务逐步实现从基础设施建设到服务质量提升，从城乡均衡发展到多样性和创新性发展的转变，全面提升了公共文化服务的水平和效果。</w:t>
      </w:r>
    </w:p>
    <w:bookmarkEnd w:id="5"/>
    <w:p w14:paraId="1E50743B" w14:textId="77777777" w:rsidR="003C7E59" w:rsidRDefault="00000000">
      <w:pPr>
        <w:snapToGrid w:val="0"/>
        <w:spacing w:line="300" w:lineRule="auto"/>
        <w:rPr>
          <w:rFonts w:ascii="宋体" w:eastAsia="宋体" w:hAnsi="宋体"/>
          <w:b/>
        </w:rPr>
      </w:pPr>
      <w:r>
        <w:rPr>
          <w:rFonts w:ascii="宋体" w:eastAsia="宋体" w:hAnsi="宋体" w:hint="eastAsia"/>
          <w:b/>
        </w:rPr>
        <w:t>四、公共文化服务的投入现状</w:t>
      </w:r>
    </w:p>
    <w:p w14:paraId="0F87C4A4" w14:textId="77777777" w:rsidR="003C7E59" w:rsidRDefault="00000000">
      <w:pPr>
        <w:snapToGrid w:val="0"/>
        <w:spacing w:line="300" w:lineRule="auto"/>
        <w:rPr>
          <w:rFonts w:ascii="宋体" w:eastAsia="宋体" w:hAnsi="宋体"/>
          <w:b/>
        </w:rPr>
      </w:pPr>
      <w:bookmarkStart w:id="6" w:name="_Hlk166938375"/>
      <w:r>
        <w:rPr>
          <w:rFonts w:ascii="宋体" w:eastAsia="宋体" w:hAnsi="宋体" w:hint="eastAsia"/>
          <w:b/>
        </w:rPr>
        <w:t>1.图书馆</w:t>
      </w:r>
    </w:p>
    <w:p w14:paraId="668F8CCF" w14:textId="77777777" w:rsidR="003C7E59" w:rsidRDefault="00000000">
      <w:pPr>
        <w:snapToGrid w:val="0"/>
        <w:spacing w:line="300" w:lineRule="auto"/>
        <w:ind w:firstLineChars="200" w:firstLine="480"/>
        <w:rPr>
          <w:rFonts w:ascii="宋体" w:eastAsia="宋体" w:hAnsi="宋体" w:cs="宋体"/>
        </w:rPr>
      </w:pPr>
      <w:r>
        <w:rPr>
          <w:rFonts w:ascii="宋体" w:eastAsia="宋体" w:hAnsi="宋体" w:cs="宋体"/>
        </w:rPr>
        <w:t>图书馆的投入数据通常涉及资金投入、人员配置、设施更新和技术升级等多个维度。具体到中国公共图书馆，近年来的投入情况显示了政府对文化事业的重视程度。例如，从历史数据看，中国公共图书馆投资系数在1996年前后经历了波动，之后呈现出递增的趋势，反映了国家对公共图书馆系统投资力度的加大。</w:t>
      </w:r>
      <w:r>
        <w:rPr>
          <w:rFonts w:ascii="宋体" w:eastAsia="宋体" w:hAnsi="宋体" w:cs="宋体"/>
          <w:color w:val="7030A0"/>
        </w:rPr>
        <w:t>截至202</w:t>
      </w:r>
      <w:r>
        <w:rPr>
          <w:rFonts w:ascii="宋体" w:eastAsia="宋体" w:hAnsi="宋体" w:cs="宋体" w:hint="eastAsia"/>
          <w:color w:val="7030A0"/>
        </w:rPr>
        <w:t>3</w:t>
      </w:r>
      <w:r>
        <w:rPr>
          <w:rFonts w:ascii="宋体" w:eastAsia="宋体" w:hAnsi="宋体" w:cs="宋体"/>
          <w:color w:val="7030A0"/>
        </w:rPr>
        <w:t>年的数据显示，</w:t>
      </w:r>
      <w:r>
        <w:rPr>
          <w:rFonts w:ascii="宋体" w:eastAsia="宋体" w:hAnsi="宋体" w:cs="宋体" w:hint="eastAsia"/>
          <w:color w:val="7030A0"/>
        </w:rPr>
        <w:t xml:space="preserve"> </w:t>
      </w:r>
      <w:r>
        <w:rPr>
          <w:rFonts w:ascii="宋体" w:eastAsia="宋体" w:hAnsi="宋体" w:cs="宋体"/>
          <w:color w:val="7030A0"/>
        </w:rPr>
        <w:t>全国共有约3</w:t>
      </w:r>
      <w:r>
        <w:rPr>
          <w:rFonts w:ascii="宋体" w:eastAsia="宋体" w:hAnsi="宋体" w:cs="宋体" w:hint="eastAsia"/>
          <w:color w:val="7030A0"/>
        </w:rPr>
        <w:t>309</w:t>
      </w:r>
      <w:r>
        <w:rPr>
          <w:rFonts w:ascii="宋体" w:eastAsia="宋体" w:hAnsi="宋体" w:cs="宋体"/>
          <w:color w:val="7030A0"/>
        </w:rPr>
        <w:t>个公共图书馆</w:t>
      </w:r>
      <w:r>
        <w:rPr>
          <w:rFonts w:ascii="宋体" w:eastAsia="宋体" w:hAnsi="宋体" w:cs="宋体" w:hint="eastAsia"/>
          <w:color w:val="7030A0"/>
        </w:rPr>
        <w:t>。</w:t>
      </w:r>
      <w:r>
        <w:rPr>
          <w:rFonts w:ascii="宋体" w:eastAsia="宋体" w:hAnsi="宋体" w:cs="宋体" w:hint="eastAsia"/>
        </w:rPr>
        <w:t xml:space="preserve"> </w:t>
      </w:r>
      <w:r>
        <w:rPr>
          <w:rFonts w:ascii="宋体" w:eastAsia="宋体" w:hAnsi="宋体" w:cs="宋体"/>
        </w:rPr>
        <w:t>在“十四五”规划期间，随着对公共文化和数字化服务的强调，图书馆的投资将进一步增加，用于支持图书馆的现代化改造、数字化资源建设、人员培训和技术设备升级等。</w:t>
      </w:r>
    </w:p>
    <w:p w14:paraId="2C19DB1C" w14:textId="77777777" w:rsidR="003C7E59" w:rsidRDefault="00000000">
      <w:pPr>
        <w:snapToGrid w:val="0"/>
        <w:spacing w:line="300" w:lineRule="auto"/>
        <w:rPr>
          <w:rFonts w:ascii="宋体" w:eastAsia="宋体" w:hAnsi="宋体" w:cs="宋体"/>
        </w:rPr>
      </w:pPr>
      <w:r>
        <w:rPr>
          <w:rFonts w:ascii="宋体" w:eastAsia="宋体" w:hAnsi="宋体" w:cs="宋体" w:hint="eastAsia"/>
        </w:rPr>
        <w:t xml:space="preserve">         </w:t>
      </w:r>
      <w:r>
        <w:rPr>
          <w:rFonts w:ascii="宋体" w:eastAsia="宋体" w:hAnsi="宋体" w:cs="宋体" w:hint="eastAsia"/>
          <w:noProof/>
        </w:rPr>
        <w:drawing>
          <wp:inline distT="0" distB="0" distL="114300" distR="114300" wp14:anchorId="0FECB544" wp14:editId="06F2B3CB">
            <wp:extent cx="4243705" cy="2123440"/>
            <wp:effectExtent l="0" t="0" r="8255" b="10160"/>
            <wp:docPr id="2" name="图片 2"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rt"/>
                    <pic:cNvPicPr>
                      <a:picLocks noChangeAspect="1"/>
                    </pic:cNvPicPr>
                  </pic:nvPicPr>
                  <pic:blipFill>
                    <a:blip r:embed="rId10"/>
                    <a:stretch>
                      <a:fillRect/>
                    </a:stretch>
                  </pic:blipFill>
                  <pic:spPr>
                    <a:xfrm>
                      <a:off x="0" y="0"/>
                      <a:ext cx="4243705" cy="2123440"/>
                    </a:xfrm>
                    <a:prstGeom prst="rect">
                      <a:avLst/>
                    </a:prstGeom>
                  </pic:spPr>
                </pic:pic>
              </a:graphicData>
            </a:graphic>
          </wp:inline>
        </w:drawing>
      </w:r>
    </w:p>
    <w:p w14:paraId="76F788F3" w14:textId="77777777" w:rsidR="003C7E59" w:rsidRDefault="00000000">
      <w:pPr>
        <w:snapToGrid w:val="0"/>
        <w:spacing w:line="300" w:lineRule="auto"/>
        <w:ind w:firstLineChars="1800" w:firstLine="4320"/>
        <w:rPr>
          <w:rFonts w:ascii="宋体" w:eastAsia="宋体" w:hAnsi="宋体" w:cs="宋体"/>
          <w:color w:val="7030A0"/>
        </w:rPr>
      </w:pPr>
      <w:r>
        <w:rPr>
          <w:rFonts w:ascii="宋体" w:eastAsia="宋体" w:hAnsi="宋体" w:cs="宋体" w:hint="eastAsia"/>
          <w:color w:val="7030A0"/>
        </w:rPr>
        <w:t>图一</w:t>
      </w:r>
    </w:p>
    <w:p w14:paraId="114DD2EF" w14:textId="77777777" w:rsidR="003C7E59" w:rsidRDefault="00000000">
      <w:pPr>
        <w:snapToGrid w:val="0"/>
        <w:spacing w:line="300" w:lineRule="auto"/>
        <w:ind w:firstLineChars="200" w:firstLine="480"/>
        <w:rPr>
          <w:rFonts w:ascii="宋体" w:eastAsia="宋体" w:hAnsi="宋体" w:cs="宋体"/>
          <w:vertAlign w:val="superscript"/>
        </w:rPr>
      </w:pPr>
      <w:r>
        <w:rPr>
          <w:rFonts w:ascii="宋体" w:eastAsia="宋体" w:hAnsi="宋体" w:cs="宋体"/>
        </w:rPr>
        <w:t>上海图书馆作为中国公共图书馆的佼佼者，其在读者信用管理方面的实践走在了全国前列。上海图书馆不仅利用第三方征信平台，还建立了自己的征信体系，这是其管理创新的一大亮点。这种模式有助于提升读者的责任感，减少图书损失，优化资源管理，同时也提升了图书馆的服务效率和读者体验。通过引入信用管理模式，上海图书馆有效促进了图书的及时归还，减少了图书丢失和损坏现象，提高了图书的流通率。此外，这一措施还鼓励了读者积极参与图书馆活动，增强了读者与图书馆之间的互动，提升了图书馆的社会影响力和公众满意度。信用管理系统的实施，不仅优化了图书馆内部管理流程，也为其他图书馆提供了可借鉴的管理经验。</w:t>
      </w:r>
      <w:r>
        <w:rPr>
          <w:rFonts w:ascii="宋体" w:eastAsia="宋体" w:hAnsi="宋体" w:cs="宋体" w:hint="eastAsia"/>
          <w:vertAlign w:val="superscript"/>
        </w:rPr>
        <w:t xml:space="preserve">[1]  </w:t>
      </w:r>
    </w:p>
    <w:p w14:paraId="71A1C9A7" w14:textId="77777777" w:rsidR="003C7E59" w:rsidRDefault="003C7E59">
      <w:pPr>
        <w:snapToGrid w:val="0"/>
        <w:spacing w:line="300" w:lineRule="auto"/>
        <w:ind w:firstLineChars="200" w:firstLine="480"/>
        <w:rPr>
          <w:rFonts w:ascii="宋体" w:eastAsia="宋体" w:hAnsi="宋体" w:cs="宋体"/>
          <w:vertAlign w:val="superscript"/>
        </w:rPr>
      </w:pPr>
    </w:p>
    <w:p w14:paraId="66C1F9A9" w14:textId="77777777" w:rsidR="003C7E59" w:rsidRDefault="00000000">
      <w:pPr>
        <w:snapToGrid w:val="0"/>
        <w:spacing w:line="300" w:lineRule="auto"/>
        <w:ind w:firstLineChars="200" w:firstLine="480"/>
        <w:rPr>
          <w:rFonts w:ascii="宋体" w:eastAsia="宋体" w:hAnsi="宋体"/>
          <w:bCs/>
          <w:color w:val="7030A0"/>
        </w:rPr>
      </w:pPr>
      <w:r>
        <w:rPr>
          <w:rFonts w:ascii="宋体" w:eastAsia="宋体" w:hAnsi="宋体"/>
          <w:bCs/>
          <w:color w:val="000000" w:themeColor="text1"/>
        </w:rPr>
        <w:lastRenderedPageBreak/>
        <w:t>上</w:t>
      </w:r>
      <w:r>
        <w:rPr>
          <w:rFonts w:ascii="宋体" w:eastAsia="宋体" w:hAnsi="宋体"/>
          <w:bCs/>
          <w:color w:val="7030A0"/>
        </w:rPr>
        <w:t>海图书馆的运营情况在过去几年显示出积极的趋势，特别是在数字服务方面。2022年3月至5月期间，上海图书馆的专业服务门户访问量达到了670万人次，比前一年同期有显著增长，这表明线上服务的受欢迎程度和使用率正在上升。</w:t>
      </w:r>
      <w:r>
        <w:rPr>
          <w:rFonts w:ascii="宋体" w:eastAsia="宋体" w:hAnsi="宋体" w:hint="eastAsia"/>
          <w:bCs/>
          <w:color w:val="7030A0"/>
        </w:rPr>
        <w:t>同时，</w:t>
      </w:r>
      <w:r>
        <w:rPr>
          <w:rFonts w:ascii="宋体" w:eastAsia="宋体" w:hAnsi="宋体"/>
          <w:bCs/>
          <w:color w:val="7030A0"/>
        </w:rPr>
        <w:t>上海图书馆对读者反馈非常重视，例如，针对馆内噪音问题，图书馆在淮海路馆三楼设置了“无音区”，以提升阅读体验。为了更好地服务读者并考虑</w:t>
      </w:r>
      <w:proofErr w:type="gramStart"/>
      <w:r>
        <w:rPr>
          <w:rFonts w:ascii="宋体" w:eastAsia="宋体" w:hAnsi="宋体"/>
          <w:bCs/>
          <w:color w:val="7030A0"/>
        </w:rPr>
        <w:t>到设施</w:t>
      </w:r>
      <w:proofErr w:type="gramEnd"/>
      <w:r>
        <w:rPr>
          <w:rFonts w:ascii="宋体" w:eastAsia="宋体" w:hAnsi="宋体"/>
          <w:bCs/>
          <w:color w:val="7030A0"/>
        </w:rPr>
        <w:t>维护，上海图书馆在2023年5月7日起调整了开放时间，这反映了图书馆致力于优化运营效率和读者满意度。上海图书馆东馆自开馆以来，接待了近200万人次的读者，举办了众多阅读推广活动，线上线下的参与度非常高，这显示了东馆在促进阅读文化方面的显著成效。</w:t>
      </w:r>
    </w:p>
    <w:p w14:paraId="3A93BB1C" w14:textId="77777777" w:rsidR="003C7E59" w:rsidRDefault="003C7E59">
      <w:pPr>
        <w:snapToGrid w:val="0"/>
        <w:spacing w:line="300" w:lineRule="auto"/>
        <w:ind w:firstLineChars="200" w:firstLine="480"/>
        <w:rPr>
          <w:rFonts w:ascii="宋体" w:eastAsia="宋体" w:hAnsi="宋体"/>
          <w:bCs/>
          <w:color w:val="7030A0"/>
        </w:rPr>
      </w:pPr>
    </w:p>
    <w:p w14:paraId="507DFE88" w14:textId="77777777" w:rsidR="003C7E59" w:rsidRDefault="00000000">
      <w:pPr>
        <w:snapToGrid w:val="0"/>
        <w:spacing w:line="300" w:lineRule="auto"/>
        <w:ind w:firstLineChars="200" w:firstLine="480"/>
        <w:rPr>
          <w:rFonts w:ascii="宋体" w:eastAsia="宋体" w:hAnsi="宋体"/>
          <w:bCs/>
          <w:color w:val="7030A0"/>
        </w:rPr>
      </w:pPr>
      <w:r>
        <w:rPr>
          <w:rFonts w:ascii="宋体" w:eastAsia="宋体" w:hAnsi="宋体" w:hint="eastAsia"/>
          <w:bCs/>
          <w:color w:val="7030A0"/>
        </w:rPr>
        <w:t>而在</w:t>
      </w:r>
      <w:r>
        <w:rPr>
          <w:rFonts w:ascii="宋体" w:eastAsia="宋体" w:hAnsi="宋体"/>
          <w:bCs/>
          <w:color w:val="7030A0"/>
        </w:rPr>
        <w:t>读者对上海图书馆的满意度</w:t>
      </w:r>
      <w:r>
        <w:rPr>
          <w:rFonts w:ascii="宋体" w:eastAsia="宋体" w:hAnsi="宋体" w:hint="eastAsia"/>
          <w:bCs/>
          <w:color w:val="7030A0"/>
        </w:rPr>
        <w:t>方面</w:t>
      </w:r>
      <w:r>
        <w:rPr>
          <w:rFonts w:ascii="宋体" w:eastAsia="宋体" w:hAnsi="宋体"/>
          <w:bCs/>
          <w:color w:val="7030A0"/>
        </w:rPr>
        <w:t>，虽然没有直接的满意度评分数据，但从图书馆采取的措施来看，比如响应读者意见设置安静区、优化开放时间和举办多样化的活动，可以看出图书馆在努力提升服务质量。此外，东馆的高访客量和活动参与度也间接反映出读者对图书馆服务的认可和满意。图书馆的持续改进和服务创新，如引入先进技术、拓展数字资源和改善实体空间，都有助于提高读者的整体满意度。</w:t>
      </w:r>
    </w:p>
    <w:p w14:paraId="0C9A8DB0" w14:textId="77777777" w:rsidR="003C7E59" w:rsidRDefault="003C7E59">
      <w:pPr>
        <w:snapToGrid w:val="0"/>
        <w:spacing w:line="300" w:lineRule="auto"/>
        <w:rPr>
          <w:rFonts w:ascii="宋体" w:eastAsia="宋体" w:hAnsi="宋体"/>
          <w:bCs/>
        </w:rPr>
      </w:pPr>
    </w:p>
    <w:p w14:paraId="203A4A18" w14:textId="77777777" w:rsidR="003C7E59" w:rsidRDefault="00000000">
      <w:pPr>
        <w:snapToGrid w:val="0"/>
        <w:spacing w:line="300" w:lineRule="auto"/>
        <w:rPr>
          <w:rFonts w:ascii="宋体" w:eastAsia="宋体" w:hAnsi="宋体"/>
          <w:b/>
        </w:rPr>
      </w:pPr>
      <w:r>
        <w:rPr>
          <w:rFonts w:ascii="宋体" w:eastAsia="宋体" w:hAnsi="宋体" w:hint="eastAsia"/>
          <w:b/>
        </w:rPr>
        <w:t>2.美术馆</w:t>
      </w:r>
    </w:p>
    <w:p w14:paraId="77393430" w14:textId="77777777" w:rsidR="003C7E59" w:rsidRDefault="00000000">
      <w:pPr>
        <w:snapToGrid w:val="0"/>
        <w:spacing w:line="300" w:lineRule="auto"/>
        <w:ind w:firstLineChars="200" w:firstLine="480"/>
        <w:rPr>
          <w:rFonts w:ascii="宋体" w:eastAsia="宋体" w:hAnsi="宋体"/>
          <w:color w:val="7030A0"/>
        </w:rPr>
      </w:pPr>
      <w:r>
        <w:rPr>
          <w:rFonts w:ascii="宋体" w:eastAsia="宋体" w:hAnsi="宋体" w:cs="宋体"/>
        </w:rPr>
        <w:t>美术馆的投入主要包括建设资金、运营费用、艺术品购置与维护、展览策划、人员工资以及技术升级等。近年来，随着国家对文化事业的重视，美术馆的投入规模在不断增大，尤其是在基础设施建设和数字化转型方面。例如，政府和社会资本的共同投入使得一些大型公益美术馆得以建成并投入使用，美术馆的硬件条件得到了显著改善。</w:t>
      </w:r>
      <w:r>
        <w:rPr>
          <w:rFonts w:ascii="宋体" w:eastAsia="宋体" w:hAnsi="宋体" w:cs="宋体"/>
          <w:color w:val="7030A0"/>
        </w:rPr>
        <w:t>截至2022年末，全国共有美术馆</w:t>
      </w:r>
      <w:r>
        <w:rPr>
          <w:color w:val="7030A0"/>
        </w:rPr>
        <w:t>718个</w:t>
      </w:r>
      <w:r>
        <w:rPr>
          <w:rFonts w:ascii="宋体" w:eastAsia="宋体" w:hAnsi="宋体" w:cs="宋体"/>
          <w:color w:val="7030A0"/>
        </w:rPr>
        <w:t>，比上年末增加了36个</w:t>
      </w:r>
      <w:r>
        <w:rPr>
          <w:rFonts w:ascii="宋体" w:eastAsia="宋体" w:hAnsi="宋体" w:cs="宋体" w:hint="eastAsia"/>
          <w:color w:val="7030A0"/>
        </w:rPr>
        <w:t>。</w:t>
      </w:r>
      <w:r>
        <w:rPr>
          <w:rFonts w:ascii="宋体" w:eastAsia="宋体" w:hAnsi="宋体" w:cs="宋体" w:hint="eastAsia"/>
        </w:rPr>
        <w:t xml:space="preserve"> </w:t>
      </w:r>
      <w:r>
        <w:rPr>
          <w:rFonts w:ascii="宋体" w:eastAsia="宋体" w:hAnsi="宋体" w:cs="宋体"/>
        </w:rPr>
        <w:t>美术馆的功能日趋专门化和向多层次方向发展。据一些行业分析报告显示，美术馆的运营成本高昂，需要大量的资金支持，而且相对于其他娱乐方式，美术馆的观众群体相对有限，这要求美术馆在吸引观众和增加收入来源上不断创新。</w:t>
      </w:r>
      <w:r>
        <w:rPr>
          <w:rFonts w:ascii="宋体" w:eastAsia="宋体" w:hAnsi="宋体" w:cs="宋体" w:hint="eastAsia"/>
          <w:vertAlign w:val="superscript"/>
        </w:rPr>
        <w:t>[2]</w:t>
      </w:r>
      <w:r>
        <w:rPr>
          <w:rFonts w:ascii="宋体" w:eastAsia="宋体" w:hAnsi="宋体" w:cs="宋体"/>
          <w:color w:val="7030A0"/>
        </w:rPr>
        <w:fldChar w:fldCharType="begin"/>
      </w:r>
      <w:r>
        <w:rPr>
          <w:rFonts w:ascii="宋体" w:eastAsia="宋体" w:hAnsi="宋体" w:cs="宋体"/>
          <w:color w:val="7030A0"/>
        </w:rPr>
        <w:instrText xml:space="preserve"> HYPERLINK "https://cn.bing.com/images/search?view=detailV2&amp;ccid=t1hEYzvL&amp;id=29725F70394C49157C216BB369A0231FD6BA6A34&amp;thid=OIP.t1hEYzvLKN8bYUNmT5l_ygHaGJ&amp;mediaurl=https://img.chyxx.com/2020/07/20200729140252el6o_m.png&amp;exph=413&amp;expw=498&amp;q=%e7%be%8e%e6%9c%af%e9%a6%86%e5%8f%91%e5%b1%95%e7%8a%b6%e5%86%b5&amp;simid=608008125376195968&amp;FORM=IRPRST&amp;ck=B942294AAD8FB73642BC7758BC6CA842&amp;selectedIndex=3&amp;itb=0" </w:instrText>
      </w:r>
      <w:r>
        <w:rPr>
          <w:rFonts w:ascii="宋体" w:eastAsia="宋体" w:hAnsi="宋体" w:cs="宋体"/>
          <w:color w:val="7030A0"/>
        </w:rPr>
      </w:r>
      <w:r>
        <w:rPr>
          <w:rFonts w:ascii="宋体" w:eastAsia="宋体" w:hAnsi="宋体" w:cs="宋体"/>
          <w:color w:val="7030A0"/>
        </w:rPr>
        <w:fldChar w:fldCharType="separate"/>
      </w:r>
    </w:p>
    <w:p w14:paraId="6893FB7D" w14:textId="77777777" w:rsidR="003C7E59" w:rsidRDefault="00000000">
      <w:pPr>
        <w:snapToGrid w:val="0"/>
        <w:spacing w:line="300" w:lineRule="auto"/>
        <w:rPr>
          <w:rFonts w:ascii="宋体" w:eastAsia="宋体" w:hAnsi="宋体"/>
          <w:color w:val="7030A0"/>
        </w:rPr>
      </w:pPr>
      <w:r>
        <w:rPr>
          <w:rFonts w:ascii="宋体" w:eastAsia="宋体" w:hAnsi="宋体" w:hint="eastAsia"/>
          <w:color w:val="7030A0"/>
        </w:rPr>
        <w:lastRenderedPageBreak/>
        <w:t xml:space="preserve">         </w:t>
      </w:r>
      <w:r>
        <w:rPr>
          <w:rFonts w:ascii="宋体" w:eastAsia="宋体" w:hAnsi="宋体" w:hint="eastAsia"/>
          <w:noProof/>
          <w:color w:val="7030A0"/>
        </w:rPr>
        <w:drawing>
          <wp:inline distT="0" distB="0" distL="114300" distR="114300" wp14:anchorId="27E82E2B" wp14:editId="113FDCAC">
            <wp:extent cx="5608320" cy="2804795"/>
            <wp:effectExtent l="0" t="0" r="0" b="14605"/>
            <wp:docPr id="3" name="图片 3" descr="ch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rt(1)"/>
                    <pic:cNvPicPr>
                      <a:picLocks noChangeAspect="1"/>
                    </pic:cNvPicPr>
                  </pic:nvPicPr>
                  <pic:blipFill>
                    <a:blip r:embed="rId11"/>
                    <a:stretch>
                      <a:fillRect/>
                    </a:stretch>
                  </pic:blipFill>
                  <pic:spPr>
                    <a:xfrm>
                      <a:off x="0" y="0"/>
                      <a:ext cx="5608320" cy="2804795"/>
                    </a:xfrm>
                    <a:prstGeom prst="rect">
                      <a:avLst/>
                    </a:prstGeom>
                  </pic:spPr>
                </pic:pic>
              </a:graphicData>
            </a:graphic>
          </wp:inline>
        </w:drawing>
      </w:r>
    </w:p>
    <w:p w14:paraId="1023D38A" w14:textId="77777777" w:rsidR="003C7E59" w:rsidRDefault="00000000">
      <w:pPr>
        <w:snapToGrid w:val="0"/>
        <w:spacing w:line="300" w:lineRule="auto"/>
        <w:ind w:firstLineChars="1700" w:firstLine="4080"/>
        <w:rPr>
          <w:rFonts w:ascii="宋体" w:eastAsia="宋体" w:hAnsi="宋体"/>
          <w:color w:val="7030A0"/>
        </w:rPr>
      </w:pPr>
      <w:r>
        <w:rPr>
          <w:rFonts w:ascii="宋体" w:eastAsia="宋体" w:hAnsi="宋体" w:hint="eastAsia"/>
          <w:color w:val="7030A0"/>
        </w:rPr>
        <w:t xml:space="preserve">图二    </w:t>
      </w:r>
      <w:r>
        <w:rPr>
          <w:rFonts w:ascii="宋体" w:eastAsia="宋体" w:hAnsi="宋体" w:cs="宋体"/>
          <w:color w:val="7030A0"/>
        </w:rPr>
        <w:fldChar w:fldCharType="end"/>
      </w:r>
    </w:p>
    <w:p w14:paraId="4977028A" w14:textId="77777777" w:rsidR="003C7E59" w:rsidRDefault="003C7E59">
      <w:pPr>
        <w:snapToGrid w:val="0"/>
        <w:spacing w:line="300" w:lineRule="auto"/>
        <w:rPr>
          <w:rFonts w:ascii="宋体" w:eastAsia="宋体" w:hAnsi="宋体" w:cs="宋体"/>
        </w:rPr>
      </w:pPr>
    </w:p>
    <w:p w14:paraId="75A944D1" w14:textId="77777777" w:rsidR="003C7E59" w:rsidRDefault="00000000">
      <w:pPr>
        <w:snapToGrid w:val="0"/>
        <w:spacing w:line="300" w:lineRule="auto"/>
        <w:ind w:firstLineChars="200" w:firstLine="480"/>
        <w:rPr>
          <w:rFonts w:ascii="宋体" w:eastAsia="宋体" w:hAnsi="宋体" w:cs="宋体"/>
          <w:color w:val="FF0000"/>
        </w:rPr>
      </w:pPr>
      <w:r>
        <w:rPr>
          <w:rFonts w:ascii="宋体" w:eastAsia="宋体" w:hAnsi="宋体" w:cs="宋体" w:hint="eastAsia"/>
        </w:rPr>
        <w:t>典型案例为浙江美术馆，</w:t>
      </w:r>
      <w:r>
        <w:rPr>
          <w:rFonts w:ascii="宋体" w:eastAsia="宋体" w:hAnsi="宋体" w:cs="宋体"/>
        </w:rPr>
        <w:t>浙江美术馆坐落在杭州，其建设规模宏大，占地面积35000平方米，建筑面积32000平方米，拥有多种规格的展厅和专业的恒温恒湿展厅，体现了在硬件设施建设上的高投入。此外，其地理位置优越，周边文化艺术氛围浓厚，为美术馆的运营提供了良好的外部环境。浙江美术馆举办</w:t>
      </w:r>
      <w:r>
        <w:rPr>
          <w:rFonts w:ascii="宋体" w:eastAsia="宋体" w:hAnsi="宋体" w:cs="宋体" w:hint="eastAsia"/>
        </w:rPr>
        <w:t>了</w:t>
      </w:r>
      <w:r>
        <w:rPr>
          <w:rFonts w:ascii="宋体" w:eastAsia="宋体" w:hAnsi="宋体" w:cs="宋体"/>
        </w:rPr>
        <w:t>各类高质量的展览</w:t>
      </w:r>
      <w:r>
        <w:rPr>
          <w:rFonts w:ascii="宋体" w:eastAsia="宋体" w:hAnsi="宋体" w:cs="宋体" w:hint="eastAsia"/>
        </w:rPr>
        <w:t>。</w:t>
      </w:r>
    </w:p>
    <w:tbl>
      <w:tblPr>
        <w:tblStyle w:val="ae"/>
        <w:tblW w:w="0" w:type="auto"/>
        <w:tblLook w:val="04A0" w:firstRow="1" w:lastRow="0" w:firstColumn="1" w:lastColumn="0" w:noHBand="0" w:noVBand="1"/>
      </w:tblPr>
      <w:tblGrid>
        <w:gridCol w:w="3030"/>
        <w:gridCol w:w="5492"/>
      </w:tblGrid>
      <w:tr w:rsidR="003C7E59" w14:paraId="6794F53E" w14:textId="77777777">
        <w:tc>
          <w:tcPr>
            <w:tcW w:w="3030" w:type="dxa"/>
          </w:tcPr>
          <w:p w14:paraId="79C1FA36"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展览名称</w:t>
            </w:r>
          </w:p>
        </w:tc>
        <w:tc>
          <w:tcPr>
            <w:tcW w:w="5492" w:type="dxa"/>
          </w:tcPr>
          <w:p w14:paraId="21A8E63A"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展览信息</w:t>
            </w:r>
          </w:p>
        </w:tc>
      </w:tr>
      <w:tr w:rsidR="003C7E59" w14:paraId="29B29FA3" w14:textId="77777777">
        <w:tc>
          <w:tcPr>
            <w:tcW w:w="3030" w:type="dxa"/>
          </w:tcPr>
          <w:p w14:paraId="589131E0"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艺者风华——浙江油画百年大展</w:t>
            </w:r>
          </w:p>
        </w:tc>
        <w:tc>
          <w:tcPr>
            <w:tcW w:w="5492" w:type="dxa"/>
          </w:tcPr>
          <w:p w14:paraId="55333CDC"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开展时间为2022年12月12日至2023年3月12日，由浙江美术馆与中国美术学院绘画艺术学院、浙江省美术家协会、浙江省油画院、浙江省油画家协会联合主办</w:t>
            </w:r>
          </w:p>
        </w:tc>
      </w:tr>
      <w:tr w:rsidR="003C7E59" w14:paraId="30177D7B" w14:textId="77777777">
        <w:tc>
          <w:tcPr>
            <w:tcW w:w="3030" w:type="dxa"/>
          </w:tcPr>
          <w:p w14:paraId="44A2F047"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“大脑花园·第五届之江国际青年艺术周暨中国美术学院2023毕业季、浙江音乐学院2023毕业演出”</w:t>
            </w:r>
          </w:p>
        </w:tc>
        <w:tc>
          <w:tcPr>
            <w:tcW w:w="5492" w:type="dxa"/>
          </w:tcPr>
          <w:p w14:paraId="39E8B93F"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这一展览于2023年6月1日开幕，为配合此展览，浙江美术馆在5月25日至5月31日进行了闭馆准备;</w:t>
            </w:r>
          </w:p>
        </w:tc>
      </w:tr>
      <w:tr w:rsidR="003C7E59" w14:paraId="3DC8A427" w14:textId="77777777">
        <w:tc>
          <w:tcPr>
            <w:tcW w:w="3030" w:type="dxa"/>
          </w:tcPr>
          <w:p w14:paraId="10359820"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“音画疗愈 融合空间”公益活动</w:t>
            </w:r>
          </w:p>
        </w:tc>
        <w:tc>
          <w:tcPr>
            <w:tcW w:w="5492" w:type="dxa"/>
          </w:tcPr>
          <w:p w14:paraId="7319BF31"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在2024年1月3日举行，属于线上展览的一部分;</w:t>
            </w:r>
          </w:p>
        </w:tc>
      </w:tr>
      <w:tr w:rsidR="003C7E59" w14:paraId="79A5F08E" w14:textId="77777777">
        <w:tc>
          <w:tcPr>
            <w:tcW w:w="3030" w:type="dxa"/>
          </w:tcPr>
          <w:p w14:paraId="554E2EA1"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“南山138”浙江青年当代艺术推广项目</w:t>
            </w:r>
          </w:p>
        </w:tc>
        <w:tc>
          <w:tcPr>
            <w:tcW w:w="5492" w:type="dxa"/>
          </w:tcPr>
          <w:p w14:paraId="335FB4C0"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这是一个持续性的项目，涉及多位青年艺术家的作品展示，包括</w:t>
            </w:r>
            <w:proofErr w:type="gramStart"/>
            <w:r>
              <w:rPr>
                <w:rFonts w:ascii="宋体" w:eastAsia="宋体" w:hAnsi="宋体" w:cs="宋体" w:hint="eastAsia"/>
                <w:color w:val="7030A0"/>
              </w:rPr>
              <w:t>袁</w:t>
            </w:r>
            <w:proofErr w:type="gramEnd"/>
            <w:r>
              <w:rPr>
                <w:rFonts w:ascii="宋体" w:eastAsia="宋体" w:hAnsi="宋体" w:cs="宋体" w:hint="eastAsia"/>
                <w:color w:val="7030A0"/>
              </w:rPr>
              <w:t>姓和</w:t>
            </w:r>
            <w:proofErr w:type="gramStart"/>
            <w:r>
              <w:rPr>
                <w:rFonts w:ascii="宋体" w:eastAsia="宋体" w:hAnsi="宋体" w:cs="宋体" w:hint="eastAsia"/>
                <w:color w:val="7030A0"/>
              </w:rPr>
              <w:t>李姓</w:t>
            </w:r>
            <w:proofErr w:type="gramEnd"/>
            <w:r>
              <w:rPr>
                <w:rFonts w:ascii="宋体" w:eastAsia="宋体" w:hAnsi="宋体" w:cs="宋体" w:hint="eastAsia"/>
                <w:color w:val="7030A0"/>
              </w:rPr>
              <w:t>艺术家的</w:t>
            </w:r>
            <w:proofErr w:type="gramStart"/>
            <w:r>
              <w:rPr>
                <w:rFonts w:ascii="宋体" w:eastAsia="宋体" w:hAnsi="宋体" w:cs="宋体" w:hint="eastAsia"/>
                <w:color w:val="7030A0"/>
              </w:rPr>
              <w:t>个</w:t>
            </w:r>
            <w:proofErr w:type="gramEnd"/>
            <w:r>
              <w:rPr>
                <w:rFonts w:ascii="宋体" w:eastAsia="宋体" w:hAnsi="宋体" w:cs="宋体" w:hint="eastAsia"/>
                <w:color w:val="7030A0"/>
              </w:rPr>
              <w:t>展;</w:t>
            </w:r>
          </w:p>
        </w:tc>
      </w:tr>
      <w:tr w:rsidR="003C7E59" w14:paraId="2CF6B220" w14:textId="77777777">
        <w:tc>
          <w:tcPr>
            <w:tcW w:w="3030" w:type="dxa"/>
          </w:tcPr>
          <w:p w14:paraId="6E0A6A60"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“盛世修典—‘中国历代绘画大系’先秦汉唐、宋、元</w:t>
            </w:r>
            <w:r>
              <w:rPr>
                <w:rFonts w:ascii="宋体" w:eastAsia="宋体" w:hAnsi="宋体" w:cs="宋体" w:hint="eastAsia"/>
                <w:color w:val="7030A0"/>
              </w:rPr>
              <w:lastRenderedPageBreak/>
              <w:t>画特展”</w:t>
            </w:r>
          </w:p>
        </w:tc>
        <w:tc>
          <w:tcPr>
            <w:tcW w:w="5492" w:type="dxa"/>
          </w:tcPr>
          <w:p w14:paraId="209FC935"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lastRenderedPageBreak/>
              <w:t>此展于2022年2月21日至2月28日闭馆准备，3月1日恢复开馆</w:t>
            </w:r>
          </w:p>
        </w:tc>
      </w:tr>
    </w:tbl>
    <w:p w14:paraId="0F1C2E20" w14:textId="77777777" w:rsidR="003C7E59" w:rsidRDefault="003C7E59">
      <w:pPr>
        <w:snapToGrid w:val="0"/>
        <w:spacing w:line="300" w:lineRule="auto"/>
        <w:rPr>
          <w:rFonts w:ascii="宋体" w:eastAsia="宋体" w:hAnsi="宋体" w:cs="宋体"/>
          <w:color w:val="7030A0"/>
        </w:rPr>
      </w:pPr>
    </w:p>
    <w:p w14:paraId="47223374" w14:textId="77777777" w:rsidR="003C7E59" w:rsidRDefault="00000000">
      <w:pPr>
        <w:snapToGrid w:val="0"/>
        <w:spacing w:line="300" w:lineRule="auto"/>
        <w:ind w:firstLineChars="200" w:firstLine="480"/>
        <w:rPr>
          <w:rFonts w:ascii="宋体" w:eastAsia="宋体" w:hAnsi="宋体"/>
        </w:rPr>
      </w:pPr>
      <w:r>
        <w:rPr>
          <w:rFonts w:ascii="宋体" w:eastAsia="宋体" w:hAnsi="宋体" w:cs="宋体"/>
        </w:rPr>
        <w:t>其专业的库房管理和展厅设计，为艺术品提供了良好的保存和展示条件，增加了藏品的学术价值和观赏价值。此外，与周边教育机构的合作，如与中国美术学院的联动，进一步发挥了美术馆在艺术教育和文化交流方面的作用。</w:t>
      </w:r>
    </w:p>
    <w:bookmarkEnd w:id="6"/>
    <w:p w14:paraId="061CBAF7" w14:textId="77777777" w:rsidR="003C7E59" w:rsidRDefault="00000000">
      <w:pPr>
        <w:snapToGrid w:val="0"/>
        <w:spacing w:line="300" w:lineRule="auto"/>
        <w:rPr>
          <w:rFonts w:ascii="宋体" w:eastAsia="宋体" w:hAnsi="宋体"/>
          <w:b/>
        </w:rPr>
      </w:pPr>
      <w:r>
        <w:rPr>
          <w:rFonts w:ascii="宋体" w:eastAsia="宋体" w:hAnsi="宋体" w:hint="eastAsia"/>
          <w:b/>
        </w:rPr>
        <w:t>五、公共文化服务案例分析</w:t>
      </w:r>
    </w:p>
    <w:p w14:paraId="173D56B2" w14:textId="77777777" w:rsidR="003C7E59" w:rsidRDefault="00000000">
      <w:pPr>
        <w:snapToGrid w:val="0"/>
        <w:spacing w:line="300" w:lineRule="auto"/>
        <w:rPr>
          <w:rFonts w:ascii="宋体" w:eastAsia="宋体" w:hAnsi="宋体"/>
          <w:b/>
        </w:rPr>
      </w:pPr>
      <w:bookmarkStart w:id="7" w:name="_Hlk166938456"/>
      <w:r>
        <w:rPr>
          <w:rFonts w:ascii="宋体" w:eastAsia="宋体" w:hAnsi="宋体" w:hint="eastAsia"/>
          <w:b/>
        </w:rPr>
        <w:t>（一）</w:t>
      </w:r>
      <w:r>
        <w:rPr>
          <w:rFonts w:ascii="宋体" w:eastAsia="宋体" w:hAnsi="宋体"/>
          <w:b/>
        </w:rPr>
        <w:t>金陵图书馆</w:t>
      </w:r>
    </w:p>
    <w:p w14:paraId="2733B0A6" w14:textId="77777777" w:rsidR="003C7E59" w:rsidRDefault="00000000">
      <w:pPr>
        <w:snapToGrid w:val="0"/>
        <w:spacing w:line="300" w:lineRule="auto"/>
        <w:ind w:firstLineChars="200" w:firstLine="480"/>
        <w:rPr>
          <w:rFonts w:ascii="宋体" w:eastAsia="宋体" w:hAnsi="宋体" w:cs="宋体"/>
        </w:rPr>
      </w:pPr>
      <w:r>
        <w:rPr>
          <w:rFonts w:ascii="宋体" w:eastAsia="宋体" w:hAnsi="宋体" w:cs="宋体"/>
        </w:rPr>
        <w:t>以金陵图书馆为例，这座位于南京的大型公共图书馆，是一个集学习阅读、信息交流、文化休闲等功能为一体的现代化设施。作为南京市的知识信息枢纽和精神文明建设的重要设施，金陵图书馆不仅拥有丰富的实体藏书，还积极融入了信息化、网络化和智能化的服务模式。新馆位于建</w:t>
      </w:r>
      <w:proofErr w:type="gramStart"/>
      <w:r>
        <w:rPr>
          <w:rFonts w:ascii="宋体" w:eastAsia="宋体" w:hAnsi="宋体" w:cs="宋体"/>
        </w:rPr>
        <w:t>邺</w:t>
      </w:r>
      <w:proofErr w:type="gramEnd"/>
      <w:r>
        <w:rPr>
          <w:rFonts w:ascii="宋体" w:eastAsia="宋体" w:hAnsi="宋体" w:cs="宋体"/>
        </w:rPr>
        <w:t>区乐山路158号，曾被国家文化部授予一级图书馆称号，显示了其在国内公共文化服务体系中的重要地位和影响力。</w:t>
      </w:r>
    </w:p>
    <w:p w14:paraId="050C9CCF" w14:textId="77777777" w:rsidR="003C7E59" w:rsidRDefault="00000000">
      <w:pPr>
        <w:snapToGrid w:val="0"/>
        <w:spacing w:line="300" w:lineRule="auto"/>
        <w:rPr>
          <w:rFonts w:ascii="宋体" w:eastAsia="宋体" w:hAnsi="宋体" w:cs="宋体"/>
        </w:rPr>
      </w:pPr>
      <w:r>
        <w:rPr>
          <w:rFonts w:ascii="宋体" w:eastAsia="宋体" w:hAnsi="宋体" w:cs="宋体" w:hint="eastAsia"/>
        </w:rPr>
        <w:t xml:space="preserve">            </w:t>
      </w:r>
      <w:r>
        <w:rPr>
          <w:rFonts w:ascii="宋体" w:eastAsia="宋体" w:hAnsi="宋体" w:cs="宋体" w:hint="eastAsia"/>
          <w:noProof/>
        </w:rPr>
        <w:drawing>
          <wp:inline distT="0" distB="0" distL="114300" distR="114300" wp14:anchorId="5A017D09" wp14:editId="0626B836">
            <wp:extent cx="2894330" cy="2327275"/>
            <wp:effectExtent l="0" t="0" r="1270" b="4445"/>
            <wp:docPr id="7" name="图片 7" descr="elulz2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lulz2kg"/>
                    <pic:cNvPicPr>
                      <a:picLocks noChangeAspect="1"/>
                    </pic:cNvPicPr>
                  </pic:nvPicPr>
                  <pic:blipFill>
                    <a:blip r:embed="rId12" cstate="print"/>
                    <a:stretch>
                      <a:fillRect/>
                    </a:stretch>
                  </pic:blipFill>
                  <pic:spPr>
                    <a:xfrm>
                      <a:off x="0" y="0"/>
                      <a:ext cx="2894330" cy="2327275"/>
                    </a:xfrm>
                    <a:prstGeom prst="rect">
                      <a:avLst/>
                    </a:prstGeom>
                  </pic:spPr>
                </pic:pic>
              </a:graphicData>
            </a:graphic>
          </wp:inline>
        </w:drawing>
      </w:r>
    </w:p>
    <w:p w14:paraId="4FE87622" w14:textId="77777777" w:rsidR="003C7E59" w:rsidRDefault="00000000">
      <w:pPr>
        <w:snapToGrid w:val="0"/>
        <w:spacing w:line="300" w:lineRule="auto"/>
        <w:ind w:firstLineChars="1400" w:firstLine="3360"/>
        <w:rPr>
          <w:rFonts w:ascii="宋体" w:eastAsia="宋体" w:hAnsi="宋体" w:cs="宋体"/>
        </w:rPr>
      </w:pPr>
      <w:r>
        <w:rPr>
          <w:rFonts w:ascii="宋体" w:eastAsia="宋体" w:hAnsi="宋体" w:cs="宋体" w:hint="eastAsia"/>
        </w:rPr>
        <w:t>图三</w:t>
      </w:r>
    </w:p>
    <w:p w14:paraId="2408D463" w14:textId="77777777" w:rsidR="003C7E59" w:rsidRDefault="003C7E59">
      <w:pPr>
        <w:snapToGrid w:val="0"/>
        <w:spacing w:line="300" w:lineRule="auto"/>
        <w:rPr>
          <w:rFonts w:ascii="宋体" w:eastAsia="宋体" w:hAnsi="宋体" w:cs="宋体"/>
        </w:rPr>
      </w:pPr>
    </w:p>
    <w:p w14:paraId="01C8B23C" w14:textId="77777777" w:rsidR="003C7E59" w:rsidRDefault="00000000">
      <w:pPr>
        <w:snapToGrid w:val="0"/>
        <w:spacing w:line="300" w:lineRule="auto"/>
        <w:rPr>
          <w:rFonts w:ascii="宋体" w:eastAsia="宋体" w:hAnsi="宋体" w:cs="宋体"/>
          <w:b/>
          <w:bCs/>
        </w:rPr>
      </w:pPr>
      <w:r>
        <w:rPr>
          <w:rFonts w:ascii="宋体" w:eastAsia="宋体" w:hAnsi="宋体" w:cs="宋体" w:hint="eastAsia"/>
          <w:b/>
        </w:rPr>
        <w:t>1.</w:t>
      </w:r>
      <w:r>
        <w:rPr>
          <w:rFonts w:ascii="宋体" w:eastAsia="宋体" w:hAnsi="宋体" w:cs="宋体" w:hint="eastAsia"/>
          <w:b/>
          <w:bCs/>
        </w:rPr>
        <w:t>服务内容及其成效</w:t>
      </w:r>
    </w:p>
    <w:p w14:paraId="0B6A5A3A" w14:textId="77777777" w:rsidR="003C7E59" w:rsidRDefault="00000000">
      <w:pPr>
        <w:snapToGrid w:val="0"/>
        <w:spacing w:line="300" w:lineRule="auto"/>
        <w:ind w:firstLine="420"/>
        <w:rPr>
          <w:rFonts w:ascii="宋体" w:eastAsia="宋体" w:hAnsi="宋体" w:cs="宋体"/>
          <w:bCs/>
        </w:rPr>
      </w:pPr>
      <w:r>
        <w:rPr>
          <w:rStyle w:val="af"/>
          <w:rFonts w:ascii="宋体" w:eastAsia="宋体" w:hAnsi="宋体" w:cs="宋体"/>
        </w:rPr>
        <w:t>多元化服务内容</w:t>
      </w:r>
      <w:r>
        <w:rPr>
          <w:rFonts w:ascii="宋体" w:eastAsia="宋体" w:hAnsi="宋体" w:cs="宋体"/>
        </w:rPr>
        <w:t>：金陵图书馆提供传统借阅服务的同时，还开发了数字资源库，包括电子书、在线数据库、音频视频资料等，满足了不同年龄层次和兴趣偏好的读者需求。图书馆定期举办各类讲座、展览、读书会和儿童阅读推广活动，强化了其作为社区文化中心的角色。</w:t>
      </w:r>
    </w:p>
    <w:p w14:paraId="0A141FEB" w14:textId="77777777" w:rsidR="003C7E59" w:rsidRDefault="00000000">
      <w:pPr>
        <w:snapToGrid w:val="0"/>
        <w:spacing w:line="300" w:lineRule="auto"/>
        <w:ind w:firstLine="420"/>
        <w:rPr>
          <w:rFonts w:ascii="宋体" w:eastAsia="宋体" w:hAnsi="宋体" w:cs="宋体"/>
          <w:bCs/>
        </w:rPr>
      </w:pPr>
      <w:r>
        <w:rPr>
          <w:rStyle w:val="af"/>
          <w:rFonts w:ascii="宋体" w:eastAsia="宋体" w:hAnsi="宋体" w:cs="宋体"/>
        </w:rPr>
        <w:t>智能服务</w:t>
      </w:r>
      <w:r>
        <w:rPr>
          <w:rFonts w:ascii="宋体" w:eastAsia="宋体" w:hAnsi="宋体" w:cs="宋体"/>
        </w:rPr>
        <w:t>：通过引入自助借还机、智能导航系统、移动图书馆APP等技术手段，金陵图书馆大大提升了服务效率和读者体验。智能技术的应用简化了借阅流程，延长了服务时间，使得图书馆资源更加</w:t>
      </w:r>
      <w:proofErr w:type="gramStart"/>
      <w:r>
        <w:rPr>
          <w:rFonts w:ascii="宋体" w:eastAsia="宋体" w:hAnsi="宋体" w:cs="宋体"/>
        </w:rPr>
        <w:t>便捷可</w:t>
      </w:r>
      <w:proofErr w:type="gramEnd"/>
      <w:r>
        <w:rPr>
          <w:rFonts w:ascii="宋体" w:eastAsia="宋体" w:hAnsi="宋体" w:cs="宋体"/>
        </w:rPr>
        <w:t>及。</w:t>
      </w:r>
    </w:p>
    <w:p w14:paraId="4119315C" w14:textId="77777777" w:rsidR="003C7E59" w:rsidRDefault="00000000">
      <w:pPr>
        <w:snapToGrid w:val="0"/>
        <w:spacing w:line="300" w:lineRule="auto"/>
        <w:ind w:firstLine="420"/>
        <w:rPr>
          <w:rFonts w:ascii="宋体" w:eastAsia="宋体" w:hAnsi="宋体" w:cs="宋体"/>
          <w:bCs/>
        </w:rPr>
      </w:pPr>
      <w:r>
        <w:rPr>
          <w:rStyle w:val="af"/>
          <w:rFonts w:ascii="宋体" w:eastAsia="宋体" w:hAnsi="宋体" w:cs="宋体"/>
        </w:rPr>
        <w:t>成效显著</w:t>
      </w:r>
      <w:r>
        <w:rPr>
          <w:rFonts w:ascii="宋体" w:eastAsia="宋体" w:hAnsi="宋体" w:cs="宋体"/>
        </w:rPr>
        <w:t>：这些服务创新显著增加了图书馆的访客量和资源利用率，促进了知识的广泛传播和文化交流。据相关数据显示，金陵图书馆的读者满意度大幅上</w:t>
      </w:r>
      <w:r>
        <w:rPr>
          <w:rFonts w:ascii="宋体" w:eastAsia="宋体" w:hAnsi="宋体" w:cs="宋体"/>
        </w:rPr>
        <w:lastRenderedPageBreak/>
        <w:t>升，社区居民的文化生活得到丰富，尤其是青少年的阅读习惯得到有效培养。图书馆成为了市民终身学习的重要场所，对提升城市文化</w:t>
      </w:r>
      <w:proofErr w:type="gramStart"/>
      <w:r>
        <w:rPr>
          <w:rFonts w:ascii="宋体" w:eastAsia="宋体" w:hAnsi="宋体" w:cs="宋体"/>
        </w:rPr>
        <w:t>软实力</w:t>
      </w:r>
      <w:proofErr w:type="gramEnd"/>
      <w:r>
        <w:rPr>
          <w:rFonts w:ascii="宋体" w:eastAsia="宋体" w:hAnsi="宋体" w:cs="宋体"/>
        </w:rPr>
        <w:t>和促进社会和谐发展起到了积极作用。</w:t>
      </w:r>
    </w:p>
    <w:p w14:paraId="7E876D70" w14:textId="77777777" w:rsidR="003C7E59" w:rsidRDefault="00000000">
      <w:pPr>
        <w:snapToGrid w:val="0"/>
        <w:spacing w:line="300" w:lineRule="auto"/>
        <w:rPr>
          <w:rFonts w:ascii="宋体" w:eastAsia="宋体" w:hAnsi="宋体" w:cs="宋体"/>
          <w:b/>
          <w:bCs/>
        </w:rPr>
      </w:pPr>
      <w:r>
        <w:rPr>
          <w:rFonts w:ascii="宋体" w:eastAsia="宋体" w:hAnsi="宋体" w:cs="宋体" w:hint="eastAsia"/>
          <w:b/>
          <w:bCs/>
        </w:rPr>
        <w:t>2.经验总结</w:t>
      </w:r>
    </w:p>
    <w:p w14:paraId="2C7E64E3" w14:textId="77777777" w:rsidR="003C7E59" w:rsidRDefault="00000000">
      <w:pPr>
        <w:snapToGrid w:val="0"/>
        <w:spacing w:line="300" w:lineRule="auto"/>
        <w:ind w:firstLine="420"/>
        <w:rPr>
          <w:rFonts w:ascii="宋体" w:eastAsia="宋体" w:hAnsi="宋体" w:cs="宋体"/>
          <w:bCs/>
        </w:rPr>
      </w:pPr>
      <w:r>
        <w:rPr>
          <w:rStyle w:val="af"/>
          <w:rFonts w:ascii="宋体" w:eastAsia="宋体" w:hAnsi="宋体" w:cs="宋体"/>
        </w:rPr>
        <w:t>创新引领</w:t>
      </w:r>
      <w:r>
        <w:rPr>
          <w:rFonts w:ascii="宋体" w:eastAsia="宋体" w:hAnsi="宋体" w:cs="宋体"/>
        </w:rPr>
        <w:t>：金陵图书馆的成功在于不断探索服务创新，紧跟科技发展趋势，将信息技术深度融入图书馆服务中，提升了服务效能。</w:t>
      </w:r>
    </w:p>
    <w:p w14:paraId="07F13468" w14:textId="77777777" w:rsidR="003C7E59" w:rsidRDefault="00000000">
      <w:pPr>
        <w:snapToGrid w:val="0"/>
        <w:spacing w:line="300" w:lineRule="auto"/>
        <w:ind w:firstLine="420"/>
        <w:rPr>
          <w:rFonts w:ascii="宋体" w:eastAsia="宋体" w:hAnsi="宋体" w:cs="宋体"/>
          <w:bCs/>
        </w:rPr>
      </w:pPr>
      <w:r>
        <w:rPr>
          <w:rStyle w:val="af"/>
          <w:rFonts w:ascii="宋体" w:eastAsia="宋体" w:hAnsi="宋体" w:cs="宋体"/>
        </w:rPr>
        <w:t>以人为本</w:t>
      </w:r>
      <w:r>
        <w:rPr>
          <w:rFonts w:ascii="宋体" w:eastAsia="宋体" w:hAnsi="宋体" w:cs="宋体"/>
        </w:rPr>
        <w:t>：服务内容多样化，考虑不同群体的需求，特别是关注儿童与青少年的阅读推广，强化了图书馆的教育与社会服务功能。</w:t>
      </w:r>
    </w:p>
    <w:p w14:paraId="4B742863" w14:textId="77777777" w:rsidR="003C7E59" w:rsidRDefault="00000000">
      <w:pPr>
        <w:snapToGrid w:val="0"/>
        <w:spacing w:line="300" w:lineRule="auto"/>
        <w:ind w:firstLine="420"/>
        <w:rPr>
          <w:rFonts w:ascii="宋体" w:eastAsia="宋体" w:hAnsi="宋体" w:cs="宋体"/>
          <w:bCs/>
        </w:rPr>
      </w:pPr>
      <w:r>
        <w:rPr>
          <w:rStyle w:val="af"/>
          <w:rFonts w:ascii="宋体" w:eastAsia="宋体" w:hAnsi="宋体" w:cs="宋体"/>
        </w:rPr>
        <w:t>开放合作</w:t>
      </w:r>
      <w:r>
        <w:rPr>
          <w:rFonts w:ascii="宋体" w:eastAsia="宋体" w:hAnsi="宋体" w:cs="宋体"/>
        </w:rPr>
        <w:t>：通过与学校、社区、文化机构等多方合作，金陵图书馆拓宽了服务边界，实现了资源共享，增强了自身影响力。</w:t>
      </w:r>
    </w:p>
    <w:p w14:paraId="423E370E" w14:textId="77777777" w:rsidR="003C7E59" w:rsidRDefault="00000000">
      <w:pPr>
        <w:snapToGrid w:val="0"/>
        <w:spacing w:line="300" w:lineRule="auto"/>
        <w:ind w:firstLine="420"/>
        <w:rPr>
          <w:rFonts w:ascii="宋体" w:eastAsia="宋体" w:hAnsi="宋体" w:cs="宋体"/>
          <w:bCs/>
        </w:rPr>
      </w:pPr>
      <w:r>
        <w:rPr>
          <w:rStyle w:val="af"/>
          <w:rFonts w:ascii="宋体" w:eastAsia="宋体" w:hAnsi="宋体" w:cs="宋体"/>
        </w:rPr>
        <w:t>持续优化</w:t>
      </w:r>
      <w:r>
        <w:rPr>
          <w:rFonts w:ascii="宋体" w:eastAsia="宋体" w:hAnsi="宋体" w:cs="宋体"/>
        </w:rPr>
        <w:t>：基于读者反馈和服务数据，持续调整和优化服务策略，确保图书馆服务始终贴近民众需求，保持活力与吸引力。</w:t>
      </w:r>
    </w:p>
    <w:p w14:paraId="67D2ECCD" w14:textId="77777777" w:rsidR="003C7E59" w:rsidRDefault="00000000">
      <w:pPr>
        <w:snapToGrid w:val="0"/>
        <w:spacing w:line="300" w:lineRule="auto"/>
        <w:ind w:firstLineChars="200" w:firstLine="480"/>
        <w:rPr>
          <w:rFonts w:ascii="宋体" w:eastAsia="宋体" w:hAnsi="宋体"/>
        </w:rPr>
      </w:pPr>
      <w:r>
        <w:rPr>
          <w:rFonts w:ascii="宋体" w:eastAsia="宋体" w:hAnsi="宋体" w:cs="宋体"/>
        </w:rPr>
        <w:t>金陵图书馆作为公共文化服务的典型案例，展示了如何通过综合运用现代技术、丰富服务内涵和加强社区互动，有效提升图书馆在构建现代公共文化服务体系中的作用。</w:t>
      </w:r>
    </w:p>
    <w:p w14:paraId="21D350B6" w14:textId="77777777" w:rsidR="003C7E59" w:rsidRDefault="00000000">
      <w:pPr>
        <w:snapToGrid w:val="0"/>
        <w:spacing w:line="300" w:lineRule="auto"/>
        <w:rPr>
          <w:rFonts w:ascii="宋体" w:eastAsia="宋体" w:hAnsi="宋体"/>
        </w:rPr>
      </w:pPr>
      <w:r>
        <w:rPr>
          <w:rFonts w:ascii="宋体" w:eastAsia="宋体" w:hAnsi="宋体" w:hint="eastAsia"/>
          <w:b/>
        </w:rPr>
        <w:t>（二）</w:t>
      </w:r>
      <w:r>
        <w:rPr>
          <w:rFonts w:ascii="宋体" w:eastAsia="宋体" w:hAnsi="宋体" w:hint="eastAsia"/>
        </w:rPr>
        <w:t>宁波美术馆</w:t>
      </w:r>
    </w:p>
    <w:p w14:paraId="42CC2099" w14:textId="77777777" w:rsidR="003C7E59" w:rsidRDefault="00000000">
      <w:pPr>
        <w:snapToGrid w:val="0"/>
        <w:spacing w:line="300" w:lineRule="auto"/>
        <w:ind w:firstLineChars="200" w:firstLine="480"/>
        <w:rPr>
          <w:rFonts w:ascii="宋体" w:eastAsia="宋体" w:hAnsi="宋体" w:cs="宋体"/>
        </w:rPr>
      </w:pPr>
      <w:r>
        <w:rPr>
          <w:rFonts w:ascii="宋体" w:eastAsia="宋体" w:hAnsi="宋体" w:cs="宋体"/>
        </w:rPr>
        <w:t>以宁波美术馆为例，这座美术馆坐落于浙江省宁波市，是由著名建筑师王澍设计，于2005年正式对外开放。宁波美术馆位于甬江之畔，前身为宁波港老外滩的航运办公楼，其建筑本身就承载着深厚的历史文化底蕴与现代设计理念的融合。作为宁波市乃至浙江省重要的文化艺术地标，宁波美术馆不仅承担着艺术品展览的任务，还是艺术教育、文化交流和公共艺术服务的重要平台。</w:t>
      </w:r>
    </w:p>
    <w:p w14:paraId="2C0B5630" w14:textId="77777777" w:rsidR="003C7E59" w:rsidRDefault="003C7E59">
      <w:pPr>
        <w:snapToGrid w:val="0"/>
        <w:spacing w:line="300" w:lineRule="auto"/>
        <w:rPr>
          <w:rFonts w:ascii="宋体" w:eastAsia="宋体" w:hAnsi="宋体" w:cs="宋体"/>
        </w:rPr>
      </w:pPr>
    </w:p>
    <w:p w14:paraId="49F649A7" w14:textId="77777777" w:rsidR="003C7E59" w:rsidRDefault="00000000">
      <w:pPr>
        <w:snapToGrid w:val="0"/>
        <w:spacing w:line="300" w:lineRule="auto"/>
        <w:rPr>
          <w:rFonts w:ascii="宋体" w:eastAsia="宋体" w:hAnsi="宋体" w:cs="宋体"/>
        </w:rPr>
      </w:pPr>
      <w:r>
        <w:rPr>
          <w:rFonts w:ascii="宋体" w:eastAsia="宋体" w:hAnsi="宋体" w:cs="宋体" w:hint="eastAsia"/>
        </w:rPr>
        <w:t xml:space="preserve">           </w:t>
      </w:r>
      <w:r>
        <w:rPr>
          <w:rFonts w:ascii="宋体" w:eastAsia="宋体" w:hAnsi="宋体" w:cs="宋体" w:hint="eastAsia"/>
          <w:noProof/>
        </w:rPr>
        <w:drawing>
          <wp:inline distT="0" distB="0" distL="114300" distR="114300" wp14:anchorId="16759F59" wp14:editId="396EE7DC">
            <wp:extent cx="2880360" cy="1783080"/>
            <wp:effectExtent l="0" t="0" r="0" b="0"/>
            <wp:docPr id="8" name="图片 8" descr="a0322e5ef1114213e8d04db2d3212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0322e5ef1114213e8d04db2d321288d"/>
                    <pic:cNvPicPr>
                      <a:picLocks noChangeAspect="1"/>
                    </pic:cNvPicPr>
                  </pic:nvPicPr>
                  <pic:blipFill>
                    <a:blip r:embed="rId13" cstate="print"/>
                    <a:stretch>
                      <a:fillRect/>
                    </a:stretch>
                  </pic:blipFill>
                  <pic:spPr>
                    <a:xfrm>
                      <a:off x="0" y="0"/>
                      <a:ext cx="2880360" cy="1783080"/>
                    </a:xfrm>
                    <a:prstGeom prst="rect">
                      <a:avLst/>
                    </a:prstGeom>
                  </pic:spPr>
                </pic:pic>
              </a:graphicData>
            </a:graphic>
          </wp:inline>
        </w:drawing>
      </w:r>
    </w:p>
    <w:p w14:paraId="087459D2" w14:textId="77777777" w:rsidR="003C7E59" w:rsidRDefault="00000000">
      <w:pPr>
        <w:snapToGrid w:val="0"/>
        <w:spacing w:line="300" w:lineRule="auto"/>
        <w:ind w:left="2520" w:firstLineChars="375" w:firstLine="900"/>
        <w:rPr>
          <w:rFonts w:ascii="宋体" w:eastAsia="宋体" w:hAnsi="宋体" w:cs="宋体"/>
        </w:rPr>
      </w:pPr>
      <w:r>
        <w:rPr>
          <w:rFonts w:ascii="宋体" w:eastAsia="宋体" w:hAnsi="宋体" w:cs="宋体" w:hint="eastAsia"/>
        </w:rPr>
        <w:t>图四</w:t>
      </w:r>
    </w:p>
    <w:p w14:paraId="72A69212" w14:textId="77777777" w:rsidR="003C7E59" w:rsidRDefault="00000000">
      <w:pPr>
        <w:snapToGrid w:val="0"/>
        <w:spacing w:line="300" w:lineRule="auto"/>
        <w:rPr>
          <w:rFonts w:ascii="宋体" w:eastAsia="宋体" w:hAnsi="宋体" w:cs="宋体"/>
          <w:b/>
        </w:rPr>
      </w:pPr>
      <w:r>
        <w:rPr>
          <w:rFonts w:ascii="宋体" w:eastAsia="宋体" w:hAnsi="宋体" w:cs="宋体" w:hint="eastAsia"/>
          <w:b/>
        </w:rPr>
        <w:t>1.</w:t>
      </w:r>
      <w:r>
        <w:rPr>
          <w:rFonts w:ascii="宋体" w:eastAsia="宋体" w:hAnsi="宋体" w:cs="宋体" w:hint="eastAsia"/>
          <w:b/>
          <w:bCs/>
        </w:rPr>
        <w:t>服务内容及其成效</w:t>
      </w:r>
    </w:p>
    <w:p w14:paraId="7B3EB2FF" w14:textId="77777777" w:rsidR="003C7E59" w:rsidRDefault="00000000">
      <w:pPr>
        <w:snapToGrid w:val="0"/>
        <w:spacing w:line="300" w:lineRule="auto"/>
        <w:ind w:firstLine="420"/>
        <w:rPr>
          <w:rFonts w:ascii="宋体" w:eastAsia="宋体" w:hAnsi="宋体" w:cs="宋体"/>
          <w:color w:val="000000" w:themeColor="text1"/>
        </w:rPr>
      </w:pPr>
      <w:r>
        <w:rPr>
          <w:rStyle w:val="af"/>
          <w:rFonts w:ascii="宋体" w:eastAsia="宋体" w:hAnsi="宋体" w:cs="宋体"/>
        </w:rPr>
        <w:t>多元化的展览活动</w:t>
      </w:r>
      <w:r>
        <w:rPr>
          <w:rFonts w:ascii="宋体" w:eastAsia="宋体" w:hAnsi="宋体" w:cs="宋体"/>
        </w:rPr>
        <w:t>：宁波美术馆每年举办多场国内外艺术家的展览，涵盖绘画、雕塑、摄影、装置艺术等多种形式，吸引了大量本地及外地的艺术爱好者。特别是一些专题展览，如中国当代艺术展、国际艺术交流展等，不仅丰富了市民</w:t>
      </w:r>
      <w:r>
        <w:rPr>
          <w:rFonts w:ascii="宋体" w:eastAsia="宋体" w:hAnsi="宋体" w:cs="宋体"/>
        </w:rPr>
        <w:lastRenderedPageBreak/>
        <w:t>的文化生活，还提升了城市的国际艺术影响力。</w:t>
      </w:r>
      <w:r>
        <w:rPr>
          <w:rFonts w:ascii="宋体" w:eastAsia="宋体" w:hAnsi="宋体" w:cs="宋体" w:hint="eastAsia"/>
          <w:vertAlign w:val="superscript"/>
        </w:rPr>
        <w:t>[3]</w:t>
      </w:r>
      <w:r>
        <w:rPr>
          <w:rFonts w:ascii="宋体" w:eastAsia="宋体" w:hAnsi="宋体" w:cs="宋体"/>
          <w:color w:val="FF0000"/>
        </w:rPr>
        <w:t xml:space="preserve"> </w:t>
      </w:r>
      <w:r>
        <w:rPr>
          <w:rFonts w:ascii="宋体" w:eastAsia="宋体" w:hAnsi="宋体" w:cs="宋体" w:hint="eastAsia"/>
          <w:color w:val="000000" w:themeColor="text1"/>
        </w:rPr>
        <w:t>下列为宁波美术馆近期的展览活动。</w:t>
      </w:r>
    </w:p>
    <w:tbl>
      <w:tblPr>
        <w:tblStyle w:val="ae"/>
        <w:tblW w:w="0" w:type="auto"/>
        <w:tblLook w:val="04A0" w:firstRow="1" w:lastRow="0" w:firstColumn="1" w:lastColumn="0" w:noHBand="0" w:noVBand="1"/>
      </w:tblPr>
      <w:tblGrid>
        <w:gridCol w:w="4261"/>
        <w:gridCol w:w="4261"/>
      </w:tblGrid>
      <w:tr w:rsidR="003C7E59" w14:paraId="7BFDEAB6" w14:textId="77777777">
        <w:tc>
          <w:tcPr>
            <w:tcW w:w="4261" w:type="dxa"/>
          </w:tcPr>
          <w:p w14:paraId="2F65E795"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展览名称</w:t>
            </w:r>
          </w:p>
        </w:tc>
        <w:tc>
          <w:tcPr>
            <w:tcW w:w="4261" w:type="dxa"/>
          </w:tcPr>
          <w:p w14:paraId="73721E36"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展览信息</w:t>
            </w:r>
          </w:p>
        </w:tc>
      </w:tr>
      <w:tr w:rsidR="003C7E59" w14:paraId="331FE7F1" w14:textId="77777777">
        <w:tc>
          <w:tcPr>
            <w:tcW w:w="4261" w:type="dxa"/>
          </w:tcPr>
          <w:p w14:paraId="572233F0"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 xml:space="preserve">“致敬童心· 一起少年——2024年六一少儿艺术节” </w:t>
            </w:r>
          </w:p>
        </w:tc>
        <w:tc>
          <w:tcPr>
            <w:tcW w:w="4261" w:type="dxa"/>
          </w:tcPr>
          <w:p w14:paraId="562F66B6" w14:textId="77777777" w:rsidR="003C7E59" w:rsidRDefault="00000000">
            <w:pPr>
              <w:widowControl/>
              <w:jc w:val="left"/>
              <w:rPr>
                <w:color w:val="7030A0"/>
              </w:rPr>
            </w:pPr>
            <w:r>
              <w:rPr>
                <w:rFonts w:ascii="宋体" w:eastAsia="宋体" w:hAnsi="宋体" w:cs="宋体"/>
                <w:color w:val="7030A0"/>
                <w:lang w:bidi="ar"/>
              </w:rPr>
              <w:t xml:space="preserve">展览时间：2024-05-28 至 2024-06-22 </w:t>
            </w:r>
          </w:p>
          <w:p w14:paraId="73843CDD" w14:textId="77777777" w:rsidR="003C7E59" w:rsidRDefault="00000000">
            <w:pPr>
              <w:widowControl/>
              <w:jc w:val="left"/>
              <w:rPr>
                <w:rFonts w:ascii="宋体" w:eastAsia="宋体" w:hAnsi="宋体" w:cs="宋体"/>
                <w:color w:val="7030A0"/>
              </w:rPr>
            </w:pPr>
            <w:r>
              <w:rPr>
                <w:rFonts w:ascii="宋体" w:eastAsia="宋体" w:hAnsi="宋体" w:cs="宋体"/>
                <w:color w:val="7030A0"/>
                <w:lang w:bidi="ar"/>
              </w:rPr>
              <w:t xml:space="preserve">展厅：1号展厅 4号展厅  </w:t>
            </w:r>
          </w:p>
        </w:tc>
      </w:tr>
      <w:tr w:rsidR="003C7E59" w14:paraId="1CCABF68" w14:textId="77777777">
        <w:tc>
          <w:tcPr>
            <w:tcW w:w="4261" w:type="dxa"/>
          </w:tcPr>
          <w:p w14:paraId="6A11D38D"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 xml:space="preserve">花草狂想--蒂埃里.特兰艺术展 </w:t>
            </w:r>
          </w:p>
        </w:tc>
        <w:tc>
          <w:tcPr>
            <w:tcW w:w="4261" w:type="dxa"/>
          </w:tcPr>
          <w:p w14:paraId="48EDC19B" w14:textId="77777777" w:rsidR="003C7E59" w:rsidRDefault="00000000">
            <w:pPr>
              <w:widowControl/>
              <w:jc w:val="left"/>
              <w:rPr>
                <w:color w:val="7030A0"/>
              </w:rPr>
            </w:pPr>
            <w:r>
              <w:rPr>
                <w:rFonts w:ascii="宋体" w:eastAsia="宋体" w:hAnsi="宋体" w:cs="宋体"/>
                <w:color w:val="7030A0"/>
                <w:lang w:bidi="ar"/>
              </w:rPr>
              <w:t xml:space="preserve">展览时间：2024-05-18 至 2024-05-22 </w:t>
            </w:r>
          </w:p>
          <w:p w14:paraId="64293B09" w14:textId="77777777" w:rsidR="003C7E59" w:rsidRDefault="00000000">
            <w:pPr>
              <w:widowControl/>
              <w:jc w:val="left"/>
              <w:rPr>
                <w:rFonts w:ascii="宋体" w:eastAsia="宋体" w:hAnsi="宋体" w:cs="宋体"/>
                <w:color w:val="7030A0"/>
              </w:rPr>
            </w:pPr>
            <w:r>
              <w:rPr>
                <w:rFonts w:ascii="宋体" w:eastAsia="宋体" w:hAnsi="宋体" w:cs="宋体"/>
                <w:color w:val="7030A0"/>
                <w:lang w:bidi="ar"/>
              </w:rPr>
              <w:t xml:space="preserve">展厅：4号展厅  </w:t>
            </w:r>
          </w:p>
        </w:tc>
      </w:tr>
      <w:tr w:rsidR="003C7E59" w14:paraId="3A24DCE9" w14:textId="77777777">
        <w:tc>
          <w:tcPr>
            <w:tcW w:w="4261" w:type="dxa"/>
          </w:tcPr>
          <w:p w14:paraId="291DCB47"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 xml:space="preserve">流动边界——宁波大学科学技术学院设计艺术学院/文化创意学院2024优秀毕业作品展 </w:t>
            </w:r>
          </w:p>
        </w:tc>
        <w:tc>
          <w:tcPr>
            <w:tcW w:w="4261" w:type="dxa"/>
          </w:tcPr>
          <w:p w14:paraId="770C3C1B" w14:textId="77777777" w:rsidR="003C7E59" w:rsidRDefault="00000000">
            <w:pPr>
              <w:widowControl/>
              <w:jc w:val="left"/>
              <w:rPr>
                <w:color w:val="7030A0"/>
              </w:rPr>
            </w:pPr>
            <w:r>
              <w:rPr>
                <w:rFonts w:ascii="宋体" w:eastAsia="宋体" w:hAnsi="宋体" w:cs="宋体"/>
                <w:color w:val="7030A0"/>
                <w:lang w:bidi="ar"/>
              </w:rPr>
              <w:t xml:space="preserve">展览时间：2024-05-09 至 2024-05-28 </w:t>
            </w:r>
          </w:p>
          <w:p w14:paraId="2B6AC56E" w14:textId="77777777" w:rsidR="003C7E59" w:rsidRDefault="00000000">
            <w:pPr>
              <w:widowControl/>
              <w:jc w:val="left"/>
              <w:rPr>
                <w:rFonts w:ascii="宋体" w:eastAsia="宋体" w:hAnsi="宋体" w:cs="宋体"/>
                <w:color w:val="7030A0"/>
              </w:rPr>
            </w:pPr>
            <w:r>
              <w:rPr>
                <w:rFonts w:ascii="宋体" w:eastAsia="宋体" w:hAnsi="宋体" w:cs="宋体"/>
                <w:color w:val="7030A0"/>
                <w:lang w:bidi="ar"/>
              </w:rPr>
              <w:t xml:space="preserve">展厅：2号展厅 3号展厅  </w:t>
            </w:r>
          </w:p>
        </w:tc>
      </w:tr>
      <w:tr w:rsidR="003C7E59" w14:paraId="7E822A5A" w14:textId="77777777">
        <w:tc>
          <w:tcPr>
            <w:tcW w:w="4261" w:type="dxa"/>
          </w:tcPr>
          <w:p w14:paraId="333BA937"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“胸怀丘壑 造化天成”——漆伯</w:t>
            </w:r>
            <w:proofErr w:type="gramStart"/>
            <w:r>
              <w:rPr>
                <w:rFonts w:ascii="宋体" w:eastAsia="宋体" w:hAnsi="宋体" w:cs="宋体" w:hint="eastAsia"/>
                <w:color w:val="7030A0"/>
              </w:rPr>
              <w:t>麟</w:t>
            </w:r>
            <w:proofErr w:type="gramEnd"/>
            <w:r>
              <w:rPr>
                <w:rFonts w:ascii="宋体" w:eastAsia="宋体" w:hAnsi="宋体" w:cs="宋体" w:hint="eastAsia"/>
                <w:color w:val="7030A0"/>
              </w:rPr>
              <w:t xml:space="preserve">书画艺术研究展 </w:t>
            </w:r>
          </w:p>
        </w:tc>
        <w:tc>
          <w:tcPr>
            <w:tcW w:w="4261" w:type="dxa"/>
          </w:tcPr>
          <w:p w14:paraId="12D78344" w14:textId="77777777" w:rsidR="003C7E59" w:rsidRDefault="00000000">
            <w:pPr>
              <w:widowControl/>
              <w:jc w:val="left"/>
              <w:rPr>
                <w:color w:val="7030A0"/>
              </w:rPr>
            </w:pPr>
            <w:r>
              <w:rPr>
                <w:rFonts w:ascii="宋体" w:eastAsia="宋体" w:hAnsi="宋体" w:cs="宋体"/>
                <w:color w:val="7030A0"/>
                <w:lang w:bidi="ar"/>
              </w:rPr>
              <w:t xml:space="preserve">展览时间：2024-04-26 至 2024-05-21 </w:t>
            </w:r>
          </w:p>
          <w:p w14:paraId="70D38AD6" w14:textId="77777777" w:rsidR="003C7E59" w:rsidRDefault="00000000">
            <w:pPr>
              <w:widowControl/>
              <w:jc w:val="left"/>
              <w:rPr>
                <w:rFonts w:ascii="宋体" w:eastAsia="宋体" w:hAnsi="宋体" w:cs="宋体"/>
                <w:color w:val="7030A0"/>
              </w:rPr>
            </w:pPr>
            <w:r>
              <w:rPr>
                <w:rFonts w:ascii="宋体" w:eastAsia="宋体" w:hAnsi="宋体" w:cs="宋体"/>
                <w:color w:val="7030A0"/>
                <w:lang w:bidi="ar"/>
              </w:rPr>
              <w:t xml:space="preserve">展厅：1号展厅  </w:t>
            </w:r>
          </w:p>
        </w:tc>
      </w:tr>
      <w:tr w:rsidR="003C7E59" w14:paraId="13EE2022" w14:textId="77777777">
        <w:tc>
          <w:tcPr>
            <w:tcW w:w="4261" w:type="dxa"/>
          </w:tcPr>
          <w:p w14:paraId="629FAD36"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生命大写意——朱松</w:t>
            </w:r>
            <w:proofErr w:type="gramStart"/>
            <w:r>
              <w:rPr>
                <w:rFonts w:ascii="宋体" w:eastAsia="宋体" w:hAnsi="宋体" w:cs="宋体" w:hint="eastAsia"/>
                <w:color w:val="7030A0"/>
              </w:rPr>
              <w:t>发艺术</w:t>
            </w:r>
            <w:proofErr w:type="gramEnd"/>
            <w:r>
              <w:rPr>
                <w:rFonts w:ascii="宋体" w:eastAsia="宋体" w:hAnsi="宋体" w:cs="宋体" w:hint="eastAsia"/>
                <w:color w:val="7030A0"/>
              </w:rPr>
              <w:t xml:space="preserve">展 </w:t>
            </w:r>
          </w:p>
        </w:tc>
        <w:tc>
          <w:tcPr>
            <w:tcW w:w="4261" w:type="dxa"/>
          </w:tcPr>
          <w:p w14:paraId="22C4EDD3" w14:textId="77777777" w:rsidR="003C7E59" w:rsidRDefault="00000000">
            <w:pPr>
              <w:widowControl/>
              <w:jc w:val="left"/>
              <w:rPr>
                <w:color w:val="7030A0"/>
              </w:rPr>
            </w:pPr>
            <w:r>
              <w:rPr>
                <w:rFonts w:ascii="宋体" w:eastAsia="宋体" w:hAnsi="宋体" w:cs="宋体"/>
                <w:color w:val="7030A0"/>
                <w:lang w:bidi="ar"/>
              </w:rPr>
              <w:t xml:space="preserve">展览时间：2024-04-20 至 2024-05-05 </w:t>
            </w:r>
          </w:p>
          <w:p w14:paraId="77E47F21" w14:textId="77777777" w:rsidR="003C7E59" w:rsidRDefault="00000000">
            <w:pPr>
              <w:widowControl/>
              <w:jc w:val="left"/>
              <w:rPr>
                <w:rFonts w:ascii="宋体" w:eastAsia="宋体" w:hAnsi="宋体" w:cs="宋体"/>
                <w:color w:val="7030A0"/>
              </w:rPr>
            </w:pPr>
            <w:r>
              <w:rPr>
                <w:rFonts w:ascii="宋体" w:eastAsia="宋体" w:hAnsi="宋体" w:cs="宋体"/>
                <w:color w:val="7030A0"/>
                <w:lang w:bidi="ar"/>
              </w:rPr>
              <w:t xml:space="preserve">展厅：2号展厅  </w:t>
            </w:r>
          </w:p>
        </w:tc>
      </w:tr>
      <w:tr w:rsidR="003C7E59" w14:paraId="51E176C7" w14:textId="77777777">
        <w:tc>
          <w:tcPr>
            <w:tcW w:w="4261" w:type="dxa"/>
          </w:tcPr>
          <w:p w14:paraId="315377AB"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上林随想——</w:t>
            </w:r>
            <w:proofErr w:type="gramStart"/>
            <w:r>
              <w:rPr>
                <w:rFonts w:ascii="宋体" w:eastAsia="宋体" w:hAnsi="宋体" w:cs="宋体" w:hint="eastAsia"/>
                <w:color w:val="7030A0"/>
              </w:rPr>
              <w:t>施珍越</w:t>
            </w:r>
            <w:proofErr w:type="gramEnd"/>
            <w:r>
              <w:rPr>
                <w:rFonts w:ascii="宋体" w:eastAsia="宋体" w:hAnsi="宋体" w:cs="宋体" w:hint="eastAsia"/>
                <w:color w:val="7030A0"/>
              </w:rPr>
              <w:t xml:space="preserve">窑青瓷艺术展 </w:t>
            </w:r>
          </w:p>
        </w:tc>
        <w:tc>
          <w:tcPr>
            <w:tcW w:w="4261" w:type="dxa"/>
          </w:tcPr>
          <w:p w14:paraId="6A22A140" w14:textId="77777777" w:rsidR="003C7E59" w:rsidRDefault="00000000">
            <w:pPr>
              <w:widowControl/>
              <w:jc w:val="left"/>
              <w:rPr>
                <w:color w:val="7030A0"/>
              </w:rPr>
            </w:pPr>
            <w:r>
              <w:rPr>
                <w:rFonts w:ascii="宋体" w:eastAsia="宋体" w:hAnsi="宋体" w:cs="宋体"/>
                <w:color w:val="7030A0"/>
                <w:lang w:bidi="ar"/>
              </w:rPr>
              <w:t xml:space="preserve">展览时间：2024-04-12 至 2024-05-05 </w:t>
            </w:r>
          </w:p>
          <w:p w14:paraId="4D91150D" w14:textId="77777777" w:rsidR="003C7E59" w:rsidRDefault="00000000">
            <w:pPr>
              <w:widowControl/>
              <w:jc w:val="left"/>
              <w:rPr>
                <w:rFonts w:ascii="宋体" w:eastAsia="宋体" w:hAnsi="宋体" w:cs="宋体"/>
                <w:color w:val="7030A0"/>
              </w:rPr>
            </w:pPr>
            <w:r>
              <w:rPr>
                <w:rFonts w:ascii="宋体" w:eastAsia="宋体" w:hAnsi="宋体" w:cs="宋体"/>
                <w:color w:val="7030A0"/>
                <w:lang w:bidi="ar"/>
              </w:rPr>
              <w:t xml:space="preserve">展厅：3号展厅  </w:t>
            </w:r>
          </w:p>
        </w:tc>
      </w:tr>
      <w:tr w:rsidR="003C7E59" w14:paraId="55BB2BA5" w14:textId="77777777">
        <w:tc>
          <w:tcPr>
            <w:tcW w:w="4261" w:type="dxa"/>
          </w:tcPr>
          <w:p w14:paraId="51968F14"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 xml:space="preserve">再寻桃花源---任建国中国画作品展·乡情篇 </w:t>
            </w:r>
          </w:p>
        </w:tc>
        <w:tc>
          <w:tcPr>
            <w:tcW w:w="4261" w:type="dxa"/>
          </w:tcPr>
          <w:p w14:paraId="17FBC37E" w14:textId="77777777" w:rsidR="003C7E59" w:rsidRDefault="00000000">
            <w:pPr>
              <w:widowControl/>
              <w:jc w:val="left"/>
              <w:rPr>
                <w:color w:val="7030A0"/>
              </w:rPr>
            </w:pPr>
            <w:r>
              <w:rPr>
                <w:rFonts w:ascii="宋体" w:eastAsia="宋体" w:hAnsi="宋体" w:cs="宋体"/>
                <w:color w:val="7030A0"/>
                <w:lang w:bidi="ar"/>
              </w:rPr>
              <w:t xml:space="preserve">展览时间：2024-03-29 至 2024-04-21 </w:t>
            </w:r>
          </w:p>
          <w:p w14:paraId="3087685B" w14:textId="77777777" w:rsidR="003C7E59" w:rsidRDefault="00000000">
            <w:pPr>
              <w:widowControl/>
              <w:jc w:val="left"/>
              <w:rPr>
                <w:rFonts w:ascii="宋体" w:eastAsia="宋体" w:hAnsi="宋体" w:cs="宋体"/>
                <w:color w:val="7030A0"/>
              </w:rPr>
            </w:pPr>
            <w:r>
              <w:rPr>
                <w:rFonts w:ascii="宋体" w:eastAsia="宋体" w:hAnsi="宋体" w:cs="宋体"/>
                <w:color w:val="7030A0"/>
                <w:lang w:bidi="ar"/>
              </w:rPr>
              <w:t xml:space="preserve">展厅：1号展厅  </w:t>
            </w:r>
          </w:p>
        </w:tc>
      </w:tr>
      <w:tr w:rsidR="003C7E59" w14:paraId="5CF4951E" w14:textId="77777777">
        <w:tc>
          <w:tcPr>
            <w:tcW w:w="4261" w:type="dxa"/>
          </w:tcPr>
          <w:p w14:paraId="088648D0"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与卷</w:t>
            </w:r>
            <w:proofErr w:type="gramStart"/>
            <w:r>
              <w:rPr>
                <w:rFonts w:ascii="宋体" w:eastAsia="宋体" w:hAnsi="宋体" w:cs="宋体" w:hint="eastAsia"/>
                <w:color w:val="7030A0"/>
              </w:rPr>
              <w:t>同舒—</w:t>
            </w:r>
            <w:proofErr w:type="gramEnd"/>
            <w:r>
              <w:rPr>
                <w:rFonts w:ascii="宋体" w:eastAsia="宋体" w:hAnsi="宋体" w:cs="宋体" w:hint="eastAsia"/>
                <w:color w:val="7030A0"/>
              </w:rPr>
              <w:t xml:space="preserve">李晨插图艺术展 </w:t>
            </w:r>
          </w:p>
        </w:tc>
        <w:tc>
          <w:tcPr>
            <w:tcW w:w="4261" w:type="dxa"/>
          </w:tcPr>
          <w:p w14:paraId="22A40E4F" w14:textId="77777777" w:rsidR="003C7E59" w:rsidRDefault="00000000">
            <w:pPr>
              <w:widowControl/>
              <w:jc w:val="left"/>
              <w:rPr>
                <w:color w:val="7030A0"/>
              </w:rPr>
            </w:pPr>
            <w:r>
              <w:rPr>
                <w:rFonts w:ascii="宋体" w:eastAsia="宋体" w:hAnsi="宋体" w:cs="宋体"/>
                <w:color w:val="7030A0"/>
                <w:lang w:bidi="ar"/>
              </w:rPr>
              <w:t xml:space="preserve">展览时间：2024-03-26 至 2024-04-14 </w:t>
            </w:r>
          </w:p>
          <w:p w14:paraId="0AC5AFC3" w14:textId="77777777" w:rsidR="003C7E59" w:rsidRDefault="00000000">
            <w:pPr>
              <w:widowControl/>
              <w:jc w:val="left"/>
              <w:rPr>
                <w:rFonts w:ascii="宋体" w:eastAsia="宋体" w:hAnsi="宋体" w:cs="宋体"/>
                <w:color w:val="7030A0"/>
              </w:rPr>
            </w:pPr>
            <w:r>
              <w:rPr>
                <w:rFonts w:ascii="宋体" w:eastAsia="宋体" w:hAnsi="宋体" w:cs="宋体"/>
                <w:color w:val="7030A0"/>
                <w:lang w:bidi="ar"/>
              </w:rPr>
              <w:t xml:space="preserve">展厅：2号展厅  </w:t>
            </w:r>
          </w:p>
        </w:tc>
      </w:tr>
      <w:tr w:rsidR="003C7E59" w14:paraId="169EA735" w14:textId="77777777">
        <w:tc>
          <w:tcPr>
            <w:tcW w:w="4261" w:type="dxa"/>
          </w:tcPr>
          <w:p w14:paraId="2E099277" w14:textId="77777777" w:rsidR="003C7E59" w:rsidRDefault="00000000">
            <w:pPr>
              <w:snapToGrid w:val="0"/>
              <w:spacing w:line="300" w:lineRule="auto"/>
              <w:rPr>
                <w:rFonts w:ascii="宋体" w:eastAsia="宋体" w:hAnsi="宋体" w:cs="宋体"/>
                <w:color w:val="7030A0"/>
              </w:rPr>
            </w:pPr>
            <w:r>
              <w:rPr>
                <w:rFonts w:ascii="宋体" w:eastAsia="宋体" w:hAnsi="宋体" w:cs="宋体" w:hint="eastAsia"/>
                <w:color w:val="7030A0"/>
              </w:rPr>
              <w:t>拐角遇见光——张桂烨</w:t>
            </w:r>
            <w:proofErr w:type="gramStart"/>
            <w:r>
              <w:rPr>
                <w:rFonts w:ascii="宋体" w:eastAsia="宋体" w:hAnsi="宋体" w:cs="宋体" w:hint="eastAsia"/>
                <w:color w:val="7030A0"/>
              </w:rPr>
              <w:t>个</w:t>
            </w:r>
            <w:proofErr w:type="gramEnd"/>
            <w:r>
              <w:rPr>
                <w:rFonts w:ascii="宋体" w:eastAsia="宋体" w:hAnsi="宋体" w:cs="宋体" w:hint="eastAsia"/>
                <w:color w:val="7030A0"/>
              </w:rPr>
              <w:t xml:space="preserve">展 </w:t>
            </w:r>
          </w:p>
        </w:tc>
        <w:tc>
          <w:tcPr>
            <w:tcW w:w="4261" w:type="dxa"/>
          </w:tcPr>
          <w:p w14:paraId="4044AEA8" w14:textId="77777777" w:rsidR="003C7E59" w:rsidRDefault="00000000">
            <w:pPr>
              <w:widowControl/>
              <w:jc w:val="left"/>
              <w:rPr>
                <w:color w:val="7030A0"/>
              </w:rPr>
            </w:pPr>
            <w:r>
              <w:rPr>
                <w:rFonts w:ascii="宋体" w:eastAsia="宋体" w:hAnsi="宋体" w:cs="宋体"/>
                <w:color w:val="7030A0"/>
                <w:lang w:bidi="ar"/>
              </w:rPr>
              <w:t xml:space="preserve">展览时间：2024-03-20 至 2024-04-07 </w:t>
            </w:r>
          </w:p>
          <w:p w14:paraId="25ED2B30" w14:textId="77777777" w:rsidR="003C7E59" w:rsidRDefault="00000000">
            <w:pPr>
              <w:widowControl/>
              <w:jc w:val="left"/>
              <w:rPr>
                <w:rFonts w:ascii="宋体" w:eastAsia="宋体" w:hAnsi="宋体" w:cs="宋体"/>
                <w:color w:val="7030A0"/>
              </w:rPr>
            </w:pPr>
            <w:r>
              <w:rPr>
                <w:rFonts w:ascii="宋体" w:eastAsia="宋体" w:hAnsi="宋体" w:cs="宋体"/>
                <w:color w:val="7030A0"/>
                <w:lang w:bidi="ar"/>
              </w:rPr>
              <w:t xml:space="preserve">展厅：3号展厅  </w:t>
            </w:r>
          </w:p>
        </w:tc>
      </w:tr>
    </w:tbl>
    <w:p w14:paraId="5F815CC4" w14:textId="77777777" w:rsidR="003C7E59" w:rsidRDefault="003C7E59">
      <w:pPr>
        <w:snapToGrid w:val="0"/>
        <w:spacing w:line="300" w:lineRule="auto"/>
        <w:rPr>
          <w:rFonts w:ascii="宋体" w:eastAsia="宋体" w:hAnsi="宋体" w:cs="宋体"/>
          <w:color w:val="7030A0"/>
        </w:rPr>
      </w:pPr>
    </w:p>
    <w:p w14:paraId="00D0B41B" w14:textId="77777777" w:rsidR="003C7E59" w:rsidRDefault="00000000">
      <w:pPr>
        <w:snapToGrid w:val="0"/>
        <w:spacing w:line="300" w:lineRule="auto"/>
        <w:ind w:firstLine="420"/>
        <w:rPr>
          <w:rFonts w:ascii="宋体" w:eastAsia="宋体" w:hAnsi="宋体" w:cs="宋体"/>
          <w:bCs/>
        </w:rPr>
      </w:pPr>
      <w:r>
        <w:rPr>
          <w:rStyle w:val="af"/>
          <w:rFonts w:ascii="宋体" w:eastAsia="宋体" w:hAnsi="宋体" w:cs="宋体"/>
        </w:rPr>
        <w:t>公共教育与活动</w:t>
      </w:r>
      <w:r>
        <w:rPr>
          <w:rFonts w:ascii="宋体" w:eastAsia="宋体" w:hAnsi="宋体" w:cs="宋体"/>
        </w:rPr>
        <w:t>：美术馆经常举办艺术讲座、工作坊、亲子活动和艺术导</w:t>
      </w:r>
      <w:proofErr w:type="gramStart"/>
      <w:r>
        <w:rPr>
          <w:rFonts w:ascii="宋体" w:eastAsia="宋体" w:hAnsi="宋体" w:cs="宋体"/>
        </w:rPr>
        <w:t>览</w:t>
      </w:r>
      <w:proofErr w:type="gramEnd"/>
      <w:r>
        <w:rPr>
          <w:rFonts w:ascii="宋体" w:eastAsia="宋体" w:hAnsi="宋体" w:cs="宋体"/>
        </w:rPr>
        <w:t>，为不同年龄段的公众提供艺术教育机会。这些活动加深了公众对艺术的理解与欣赏，促进了艺术的普及与传承。</w:t>
      </w:r>
    </w:p>
    <w:p w14:paraId="619A2EAC" w14:textId="77777777" w:rsidR="003C7E59" w:rsidRDefault="00000000">
      <w:pPr>
        <w:snapToGrid w:val="0"/>
        <w:spacing w:line="300" w:lineRule="auto"/>
        <w:ind w:firstLine="420"/>
        <w:rPr>
          <w:rFonts w:ascii="宋体" w:eastAsia="宋体" w:hAnsi="宋体" w:cs="宋体"/>
          <w:color w:val="7030A0"/>
        </w:rPr>
      </w:pPr>
      <w:r>
        <w:rPr>
          <w:rStyle w:val="af"/>
          <w:rFonts w:ascii="宋体" w:eastAsia="宋体" w:hAnsi="宋体" w:cs="宋体"/>
        </w:rPr>
        <w:t>数字美术馆建设</w:t>
      </w:r>
      <w:r>
        <w:rPr>
          <w:rFonts w:ascii="宋体" w:eastAsia="宋体" w:hAnsi="宋体" w:cs="宋体"/>
        </w:rPr>
        <w:t>：宁波美术馆利用数字技术，开发了线上虚拟展览、艺术品数据库和在线教育平台，使艺术资源跨越时间和空间的限制，惠及更广泛的受众。尤其在疫情期间，线上服务成为连接美术馆与公众的重要桥梁。</w:t>
      </w:r>
      <w:r>
        <w:rPr>
          <w:rFonts w:ascii="宋体" w:eastAsia="宋体" w:hAnsi="宋体" w:cs="宋体"/>
          <w:color w:val="7030A0"/>
        </w:rPr>
        <w:t>当疫情逐渐平稳后，宁波美术馆可以进一步优化其“线上+线下”的混合展览模式，以满足不同观众的需求，并提升整体的艺术体验。以下是一些</w:t>
      </w:r>
      <w:r>
        <w:rPr>
          <w:rFonts w:ascii="宋体" w:eastAsia="宋体" w:hAnsi="宋体" w:cs="宋体" w:hint="eastAsia"/>
          <w:color w:val="7030A0"/>
        </w:rPr>
        <w:t>部分</w:t>
      </w:r>
      <w:r>
        <w:rPr>
          <w:rFonts w:ascii="宋体" w:eastAsia="宋体" w:hAnsi="宋体" w:cs="宋体"/>
          <w:color w:val="7030A0"/>
        </w:rPr>
        <w:t>策略</w:t>
      </w:r>
      <w:r>
        <w:rPr>
          <w:rFonts w:ascii="宋体" w:eastAsia="宋体" w:hAnsi="宋体" w:cs="宋体" w:hint="eastAsia"/>
          <w:color w:val="7030A0"/>
        </w:rPr>
        <w:t>和运行模式</w:t>
      </w:r>
      <w:r>
        <w:rPr>
          <w:rFonts w:ascii="宋体" w:eastAsia="宋体" w:hAnsi="宋体" w:cs="宋体"/>
          <w:color w:val="7030A0"/>
        </w:rPr>
        <w:t>：</w:t>
      </w:r>
    </w:p>
    <w:p w14:paraId="72FD6588" w14:textId="77777777" w:rsidR="003C7E59" w:rsidRDefault="003C7E59">
      <w:pPr>
        <w:snapToGrid w:val="0"/>
        <w:spacing w:line="300" w:lineRule="auto"/>
        <w:rPr>
          <w:rFonts w:ascii="宋体" w:eastAsia="宋体" w:hAnsi="宋体" w:cs="宋体"/>
          <w:color w:val="7030A0"/>
        </w:rPr>
      </w:pPr>
    </w:p>
    <w:p w14:paraId="7E2D1108" w14:textId="77777777" w:rsidR="003C7E59" w:rsidRDefault="00000000">
      <w:pPr>
        <w:numPr>
          <w:ilvl w:val="0"/>
          <w:numId w:val="2"/>
        </w:numPr>
        <w:snapToGrid w:val="0"/>
        <w:spacing w:line="300" w:lineRule="auto"/>
        <w:rPr>
          <w:rFonts w:ascii="宋体" w:eastAsia="宋体" w:hAnsi="宋体" w:cs="宋体"/>
          <w:color w:val="7030A0"/>
        </w:rPr>
      </w:pPr>
      <w:r>
        <w:rPr>
          <w:rFonts w:ascii="宋体" w:eastAsia="宋体" w:hAnsi="宋体" w:cs="宋体"/>
          <w:color w:val="7030A0"/>
        </w:rPr>
        <w:t>线上展览与互动体验</w:t>
      </w:r>
      <w:r>
        <w:rPr>
          <w:rFonts w:ascii="宋体" w:eastAsia="宋体" w:hAnsi="宋体" w:cs="宋体" w:hint="eastAsia"/>
          <w:color w:val="7030A0"/>
        </w:rPr>
        <w:t>：</w:t>
      </w:r>
      <w:r>
        <w:rPr>
          <w:rStyle w:val="af"/>
          <w:rFonts w:ascii="宋体" w:eastAsia="宋体" w:hAnsi="宋体" w:cs="宋体"/>
          <w:color w:val="7030A0"/>
        </w:rPr>
        <w:t>虚拟现实（VR）和增强现实（AR）展览</w:t>
      </w:r>
      <w:r>
        <w:rPr>
          <w:rFonts w:ascii="宋体" w:eastAsia="宋体" w:hAnsi="宋体" w:cs="宋体"/>
          <w:color w:val="7030A0"/>
        </w:rPr>
        <w:t>：继续使用VR和AR技术创建沉浸式展览，让用户即使在家也能有身临其境的感觉</w:t>
      </w:r>
      <w:r>
        <w:rPr>
          <w:rFonts w:ascii="宋体" w:eastAsia="宋体" w:hAnsi="宋体" w:cs="宋体" w:hint="eastAsia"/>
          <w:color w:val="7030A0"/>
        </w:rPr>
        <w:t>；</w:t>
      </w:r>
      <w:r>
        <w:rPr>
          <w:rStyle w:val="af"/>
          <w:rFonts w:ascii="宋体" w:eastAsia="宋体" w:hAnsi="宋体" w:cs="宋体"/>
          <w:color w:val="7030A0"/>
        </w:rPr>
        <w:t>在线导</w:t>
      </w:r>
      <w:proofErr w:type="gramStart"/>
      <w:r>
        <w:rPr>
          <w:rStyle w:val="af"/>
          <w:rFonts w:ascii="宋体" w:eastAsia="宋体" w:hAnsi="宋体" w:cs="宋体"/>
          <w:color w:val="7030A0"/>
        </w:rPr>
        <w:t>览</w:t>
      </w:r>
      <w:proofErr w:type="gramEnd"/>
      <w:r>
        <w:rPr>
          <w:rStyle w:val="af"/>
          <w:rFonts w:ascii="宋体" w:eastAsia="宋体" w:hAnsi="宋体" w:cs="宋体"/>
          <w:color w:val="7030A0"/>
        </w:rPr>
        <w:t>与解说</w:t>
      </w:r>
      <w:r>
        <w:rPr>
          <w:rFonts w:ascii="宋体" w:eastAsia="宋体" w:hAnsi="宋体" w:cs="宋体"/>
          <w:color w:val="7030A0"/>
        </w:rPr>
        <w:t>：提供专业导</w:t>
      </w:r>
      <w:proofErr w:type="gramStart"/>
      <w:r>
        <w:rPr>
          <w:rFonts w:ascii="宋体" w:eastAsia="宋体" w:hAnsi="宋体" w:cs="宋体"/>
          <w:color w:val="7030A0"/>
        </w:rPr>
        <w:t>览</w:t>
      </w:r>
      <w:proofErr w:type="gramEnd"/>
      <w:r>
        <w:rPr>
          <w:rFonts w:ascii="宋体" w:eastAsia="宋体" w:hAnsi="宋体" w:cs="宋体"/>
          <w:color w:val="7030A0"/>
        </w:rPr>
        <w:t>员的语音或视频讲解，让线上观众能够获得深度的艺术解读</w:t>
      </w:r>
      <w:r>
        <w:rPr>
          <w:rFonts w:ascii="宋体" w:eastAsia="宋体" w:hAnsi="宋体" w:cs="宋体" w:hint="eastAsia"/>
          <w:color w:val="7030A0"/>
        </w:rPr>
        <w:t>；</w:t>
      </w:r>
      <w:r>
        <w:rPr>
          <w:rStyle w:val="af"/>
          <w:rFonts w:ascii="宋体" w:eastAsia="宋体" w:hAnsi="宋体" w:cs="宋体"/>
          <w:color w:val="7030A0"/>
        </w:rPr>
        <w:t>数字艺术品数据库</w:t>
      </w:r>
      <w:r>
        <w:rPr>
          <w:rFonts w:ascii="宋体" w:eastAsia="宋体" w:hAnsi="宋体" w:cs="宋体"/>
          <w:color w:val="7030A0"/>
        </w:rPr>
        <w:t>：维护并更新艺术品数据库，包括高清图片、详细背景信息、艺术家访谈等，供用户随时查阅</w:t>
      </w:r>
      <w:r>
        <w:rPr>
          <w:rFonts w:ascii="宋体" w:eastAsia="宋体" w:hAnsi="宋体" w:cs="宋体" w:hint="eastAsia"/>
          <w:color w:val="7030A0"/>
        </w:rPr>
        <w:t>；</w:t>
      </w:r>
      <w:r>
        <w:rPr>
          <w:rStyle w:val="af"/>
          <w:rFonts w:ascii="宋体" w:eastAsia="宋体" w:hAnsi="宋体" w:cs="宋体"/>
          <w:color w:val="7030A0"/>
        </w:rPr>
        <w:t>在线教育课程与工作</w:t>
      </w:r>
      <w:r>
        <w:rPr>
          <w:rStyle w:val="af"/>
          <w:rFonts w:ascii="宋体" w:eastAsia="宋体" w:hAnsi="宋体" w:cs="宋体"/>
          <w:color w:val="7030A0"/>
        </w:rPr>
        <w:lastRenderedPageBreak/>
        <w:t>坊</w:t>
      </w:r>
      <w:r>
        <w:rPr>
          <w:rFonts w:ascii="宋体" w:eastAsia="宋体" w:hAnsi="宋体" w:cs="宋体"/>
          <w:color w:val="7030A0"/>
        </w:rPr>
        <w:t>：通过网络平台提供艺术历史、创作技巧等在线课程，吸引各年龄段的学习者参与。</w:t>
      </w:r>
      <w:r>
        <w:rPr>
          <w:rFonts w:ascii="宋体" w:eastAsia="宋体" w:hAnsi="宋体" w:cs="宋体"/>
          <w:color w:val="7030A0"/>
        </w:rPr>
        <w:br/>
      </w:r>
    </w:p>
    <w:p w14:paraId="21F35F36" w14:textId="77777777" w:rsidR="003C7E59" w:rsidRDefault="00000000">
      <w:pPr>
        <w:numPr>
          <w:ilvl w:val="0"/>
          <w:numId w:val="2"/>
        </w:numPr>
        <w:snapToGrid w:val="0"/>
        <w:spacing w:line="300" w:lineRule="auto"/>
        <w:rPr>
          <w:rFonts w:ascii="宋体" w:eastAsia="宋体" w:hAnsi="宋体" w:cs="宋体"/>
          <w:color w:val="7030A0"/>
        </w:rPr>
      </w:pPr>
      <w:r>
        <w:rPr>
          <w:rFonts w:ascii="宋体" w:eastAsia="宋体" w:hAnsi="宋体" w:cs="宋体"/>
          <w:color w:val="7030A0"/>
        </w:rPr>
        <w:t>线下展览与活动</w:t>
      </w:r>
      <w:r>
        <w:rPr>
          <w:rFonts w:ascii="宋体" w:eastAsia="宋体" w:hAnsi="宋体" w:cs="宋体" w:hint="eastAsia"/>
          <w:color w:val="7030A0"/>
        </w:rPr>
        <w:t>：</w:t>
      </w:r>
      <w:r>
        <w:rPr>
          <w:rStyle w:val="af"/>
          <w:rFonts w:ascii="宋体" w:eastAsia="宋体" w:hAnsi="宋体" w:cs="宋体"/>
          <w:color w:val="7030A0"/>
        </w:rPr>
        <w:t>安全措施</w:t>
      </w:r>
      <w:r>
        <w:rPr>
          <w:rFonts w:ascii="宋体" w:eastAsia="宋体" w:hAnsi="宋体" w:cs="宋体"/>
          <w:color w:val="7030A0"/>
        </w:rPr>
        <w:t>：确保现场展览的安全，如限制人流、定时消毒、提供个人防护设备等</w:t>
      </w:r>
      <w:r>
        <w:rPr>
          <w:rFonts w:ascii="宋体" w:eastAsia="宋体" w:hAnsi="宋体" w:cs="宋体" w:hint="eastAsia"/>
          <w:color w:val="7030A0"/>
        </w:rPr>
        <w:t>；</w:t>
      </w:r>
      <w:r>
        <w:rPr>
          <w:rStyle w:val="af"/>
          <w:rFonts w:ascii="宋体" w:eastAsia="宋体" w:hAnsi="宋体" w:cs="宋体"/>
          <w:color w:val="7030A0"/>
        </w:rPr>
        <w:t>增强现场体验</w:t>
      </w:r>
      <w:r>
        <w:rPr>
          <w:rFonts w:ascii="宋体" w:eastAsia="宋体" w:hAnsi="宋体" w:cs="宋体"/>
          <w:color w:val="7030A0"/>
        </w:rPr>
        <w:t>：利用数字技术提升现场展览的互动性和参与感，比如设置互动屏幕、智能导</w:t>
      </w:r>
      <w:proofErr w:type="gramStart"/>
      <w:r>
        <w:rPr>
          <w:rFonts w:ascii="宋体" w:eastAsia="宋体" w:hAnsi="宋体" w:cs="宋体"/>
          <w:color w:val="7030A0"/>
        </w:rPr>
        <w:t>览</w:t>
      </w:r>
      <w:proofErr w:type="gramEnd"/>
      <w:r>
        <w:rPr>
          <w:rFonts w:ascii="宋体" w:eastAsia="宋体" w:hAnsi="宋体" w:cs="宋体"/>
          <w:color w:val="7030A0"/>
        </w:rPr>
        <w:t>设备等</w:t>
      </w:r>
      <w:r>
        <w:rPr>
          <w:rFonts w:ascii="宋体" w:eastAsia="宋体" w:hAnsi="宋体" w:cs="宋体" w:hint="eastAsia"/>
          <w:color w:val="7030A0"/>
        </w:rPr>
        <w:t>；</w:t>
      </w:r>
      <w:r>
        <w:rPr>
          <w:rStyle w:val="af"/>
          <w:rFonts w:ascii="宋体" w:eastAsia="宋体" w:hAnsi="宋体" w:cs="宋体"/>
          <w:color w:val="7030A0"/>
        </w:rPr>
        <w:t>特别活动与讲座</w:t>
      </w:r>
      <w:r>
        <w:rPr>
          <w:rFonts w:ascii="宋体" w:eastAsia="宋体" w:hAnsi="宋体" w:cs="宋体"/>
          <w:color w:val="7030A0"/>
        </w:rPr>
        <w:t>：组织艺术家见面会、现场表演、专题讲座等活动，吸引对艺术有深度兴趣的观众</w:t>
      </w:r>
      <w:r>
        <w:rPr>
          <w:rFonts w:ascii="宋体" w:eastAsia="宋体" w:hAnsi="宋体" w:cs="宋体" w:hint="eastAsia"/>
          <w:color w:val="7030A0"/>
        </w:rPr>
        <w:t>；</w:t>
      </w:r>
      <w:r>
        <w:rPr>
          <w:rFonts w:ascii="宋体" w:eastAsia="宋体" w:hAnsi="宋体" w:cs="宋体" w:hint="eastAsia"/>
          <w:color w:val="7030A0"/>
        </w:rPr>
        <w:br/>
      </w:r>
    </w:p>
    <w:p w14:paraId="10986579" w14:textId="77777777" w:rsidR="003C7E59" w:rsidRDefault="00000000">
      <w:pPr>
        <w:numPr>
          <w:ilvl w:val="0"/>
          <w:numId w:val="2"/>
        </w:numPr>
        <w:snapToGrid w:val="0"/>
        <w:spacing w:line="300" w:lineRule="auto"/>
        <w:rPr>
          <w:rFonts w:ascii="宋体" w:eastAsia="宋体" w:hAnsi="宋体" w:cs="宋体"/>
        </w:rPr>
      </w:pPr>
      <w:r>
        <w:rPr>
          <w:rFonts w:ascii="宋体" w:eastAsia="宋体" w:hAnsi="宋体" w:cs="宋体"/>
          <w:color w:val="7030A0"/>
        </w:rPr>
        <w:t>融合线上与线下</w:t>
      </w:r>
      <w:r>
        <w:rPr>
          <w:rFonts w:ascii="宋体" w:eastAsia="宋体" w:hAnsi="宋体" w:cs="宋体" w:hint="eastAsia"/>
          <w:color w:val="7030A0"/>
        </w:rPr>
        <w:t>：</w:t>
      </w:r>
      <w:r>
        <w:rPr>
          <w:rStyle w:val="af"/>
          <w:rFonts w:ascii="宋体" w:eastAsia="宋体" w:hAnsi="宋体" w:cs="宋体"/>
          <w:color w:val="7030A0"/>
        </w:rPr>
        <w:t>预约系统</w:t>
      </w:r>
      <w:r>
        <w:rPr>
          <w:rFonts w:ascii="宋体" w:eastAsia="宋体" w:hAnsi="宋体" w:cs="宋体"/>
          <w:color w:val="7030A0"/>
        </w:rPr>
        <w:t>：建立线上预约系统，控制现场参观人数，同时也为无法到场的观众提供虚拟参观选项</w:t>
      </w:r>
      <w:r>
        <w:rPr>
          <w:rFonts w:ascii="宋体" w:eastAsia="宋体" w:hAnsi="宋体" w:cs="宋体" w:hint="eastAsia"/>
          <w:color w:val="7030A0"/>
        </w:rPr>
        <w:t>；</w:t>
      </w:r>
      <w:r>
        <w:rPr>
          <w:rStyle w:val="af"/>
          <w:rFonts w:ascii="宋体" w:eastAsia="宋体" w:hAnsi="宋体" w:cs="宋体"/>
          <w:color w:val="7030A0"/>
        </w:rPr>
        <w:t>混合型活动</w:t>
      </w:r>
      <w:r>
        <w:rPr>
          <w:rFonts w:ascii="宋体" w:eastAsia="宋体" w:hAnsi="宋体" w:cs="宋体"/>
          <w:color w:val="7030A0"/>
        </w:rPr>
        <w:t>：举办线上线下同步的活动，例如直播艺术家的工作室过程，同时在线下开设观看区域</w:t>
      </w:r>
      <w:r>
        <w:rPr>
          <w:rFonts w:ascii="宋体" w:eastAsia="宋体" w:hAnsi="宋体" w:cs="宋体" w:hint="eastAsia"/>
          <w:color w:val="7030A0"/>
        </w:rPr>
        <w:t>；</w:t>
      </w:r>
      <w:r>
        <w:rPr>
          <w:rStyle w:val="af"/>
          <w:rFonts w:ascii="宋体" w:eastAsia="宋体" w:hAnsi="宋体" w:cs="宋体"/>
          <w:color w:val="7030A0"/>
        </w:rPr>
        <w:t>社交媒体互动</w:t>
      </w:r>
      <w:r>
        <w:rPr>
          <w:rFonts w:ascii="宋体" w:eastAsia="宋体" w:hAnsi="宋体" w:cs="宋体"/>
          <w:color w:val="7030A0"/>
        </w:rPr>
        <w:t>：利用社交媒体平台分享展览亮点，鼓励现场观众分享体验，形成线上线下互动的社区</w:t>
      </w:r>
      <w:r>
        <w:rPr>
          <w:rFonts w:ascii="宋体" w:eastAsia="宋体" w:hAnsi="宋体" w:cs="宋体" w:hint="eastAsia"/>
          <w:color w:val="7030A0"/>
        </w:rPr>
        <w:t>。</w:t>
      </w:r>
      <w:r>
        <w:rPr>
          <w:rFonts w:ascii="宋体" w:eastAsia="宋体" w:hAnsi="宋体" w:cs="宋体" w:hint="eastAsia"/>
          <w:color w:val="7030A0"/>
        </w:rPr>
        <w:br/>
      </w:r>
    </w:p>
    <w:p w14:paraId="4179980B" w14:textId="77777777" w:rsidR="003C7E59" w:rsidRDefault="00000000">
      <w:pPr>
        <w:snapToGrid w:val="0"/>
        <w:spacing w:line="300" w:lineRule="auto"/>
        <w:ind w:firstLine="420"/>
        <w:rPr>
          <w:rFonts w:ascii="宋体" w:eastAsia="宋体" w:hAnsi="宋体" w:cs="宋体"/>
          <w:bCs/>
        </w:rPr>
      </w:pPr>
      <w:r>
        <w:rPr>
          <w:rStyle w:val="af"/>
          <w:rFonts w:ascii="宋体" w:eastAsia="宋体" w:hAnsi="宋体" w:cs="宋体"/>
        </w:rPr>
        <w:t>成效显著</w:t>
      </w:r>
      <w:r>
        <w:rPr>
          <w:rFonts w:ascii="宋体" w:eastAsia="宋体" w:hAnsi="宋体" w:cs="宋体"/>
        </w:rPr>
        <w:t>：宁波美术馆的服务创新显著增强了公众参与度，提升了城市的文化品位，促进了艺术市场的活跃。同时，美术馆成为推动地方文化旅游发展的重要动力，对城市形象塑造和文化产业发展产生了积极作用。</w:t>
      </w:r>
      <w:r>
        <w:rPr>
          <w:rFonts w:ascii="宋体" w:eastAsia="宋体" w:hAnsi="宋体" w:cs="宋体" w:hint="eastAsia"/>
          <w:vertAlign w:val="superscript"/>
        </w:rPr>
        <w:t>[4]</w:t>
      </w:r>
    </w:p>
    <w:p w14:paraId="70CAA39A" w14:textId="77777777" w:rsidR="003C7E59" w:rsidRDefault="00000000">
      <w:pPr>
        <w:snapToGrid w:val="0"/>
        <w:spacing w:line="300" w:lineRule="auto"/>
        <w:rPr>
          <w:rFonts w:ascii="宋体" w:eastAsia="宋体" w:hAnsi="宋体" w:cs="宋体"/>
          <w:b/>
          <w:bCs/>
        </w:rPr>
      </w:pPr>
      <w:r>
        <w:rPr>
          <w:rFonts w:ascii="宋体" w:eastAsia="宋体" w:hAnsi="宋体" w:cs="宋体" w:hint="eastAsia"/>
          <w:b/>
          <w:bCs/>
        </w:rPr>
        <w:t>2.经验总结</w:t>
      </w:r>
    </w:p>
    <w:p w14:paraId="28F34155" w14:textId="77777777" w:rsidR="003C7E59" w:rsidRDefault="00000000">
      <w:pPr>
        <w:snapToGrid w:val="0"/>
        <w:spacing w:line="300" w:lineRule="auto"/>
        <w:ind w:firstLine="420"/>
        <w:rPr>
          <w:rFonts w:ascii="宋体" w:eastAsia="宋体" w:hAnsi="宋体" w:cs="宋体"/>
          <w:bCs/>
        </w:rPr>
      </w:pPr>
      <w:r>
        <w:rPr>
          <w:rStyle w:val="af"/>
          <w:rFonts w:ascii="宋体" w:eastAsia="宋体" w:hAnsi="宋体" w:cs="宋体"/>
        </w:rPr>
        <w:t>整合资源与跨界合作</w:t>
      </w:r>
      <w:r>
        <w:rPr>
          <w:rFonts w:ascii="宋体" w:eastAsia="宋体" w:hAnsi="宋体" w:cs="宋体"/>
        </w:rPr>
        <w:t>：宁波美术馆的成功在于有效整合了历史建筑资源，通过与教育机构、艺术家团体及国际艺术组织的合作，拓宽了服务范围和影响力。</w:t>
      </w:r>
    </w:p>
    <w:p w14:paraId="171E336C" w14:textId="77777777" w:rsidR="003C7E59" w:rsidRDefault="00000000">
      <w:pPr>
        <w:snapToGrid w:val="0"/>
        <w:spacing w:line="300" w:lineRule="auto"/>
        <w:ind w:firstLine="420"/>
        <w:rPr>
          <w:rFonts w:ascii="宋体" w:eastAsia="宋体" w:hAnsi="宋体" w:cs="宋体"/>
          <w:bCs/>
        </w:rPr>
      </w:pPr>
      <w:r>
        <w:rPr>
          <w:rStyle w:val="af"/>
          <w:rFonts w:ascii="宋体" w:eastAsia="宋体" w:hAnsi="宋体" w:cs="宋体"/>
        </w:rPr>
        <w:t>注重公众参与和体验</w:t>
      </w:r>
      <w:r>
        <w:rPr>
          <w:rFonts w:ascii="宋体" w:eastAsia="宋体" w:hAnsi="宋体" w:cs="宋体"/>
        </w:rPr>
        <w:t>：通过多样化的公共教育活动和数字化服务，降低了艺术门槛，让艺术更加贴近大众，提升了美术馆的社会价值。</w:t>
      </w:r>
    </w:p>
    <w:p w14:paraId="7CA76C08" w14:textId="77777777" w:rsidR="003C7E59" w:rsidRDefault="00000000">
      <w:pPr>
        <w:snapToGrid w:val="0"/>
        <w:spacing w:line="300" w:lineRule="auto"/>
        <w:ind w:firstLine="420"/>
        <w:rPr>
          <w:rFonts w:ascii="宋体" w:eastAsia="宋体" w:hAnsi="宋体" w:cs="宋体"/>
          <w:bCs/>
        </w:rPr>
      </w:pPr>
      <w:r>
        <w:rPr>
          <w:rStyle w:val="af"/>
          <w:rFonts w:ascii="宋体" w:eastAsia="宋体" w:hAnsi="宋体" w:cs="宋体"/>
        </w:rPr>
        <w:t>创新驱动发展</w:t>
      </w:r>
      <w:r>
        <w:rPr>
          <w:rFonts w:ascii="宋体" w:eastAsia="宋体" w:hAnsi="宋体" w:cs="宋体"/>
        </w:rPr>
        <w:t>：持续的艺术创新和运营模式的探索，如数字美术馆的建设，是提升服务质量和扩大影响力的</w:t>
      </w:r>
      <w:proofErr w:type="gramStart"/>
      <w:r>
        <w:rPr>
          <w:rFonts w:ascii="宋体" w:eastAsia="宋体" w:hAnsi="宋体" w:cs="宋体"/>
        </w:rPr>
        <w:t>的</w:t>
      </w:r>
      <w:proofErr w:type="gramEnd"/>
      <w:r>
        <w:rPr>
          <w:rFonts w:ascii="宋体" w:eastAsia="宋体" w:hAnsi="宋体" w:cs="宋体"/>
        </w:rPr>
        <w:t>关键。</w:t>
      </w:r>
    </w:p>
    <w:p w14:paraId="3DE858C8" w14:textId="77777777" w:rsidR="003C7E59" w:rsidRDefault="00000000">
      <w:pPr>
        <w:snapToGrid w:val="0"/>
        <w:spacing w:line="300" w:lineRule="auto"/>
        <w:ind w:firstLine="420"/>
        <w:rPr>
          <w:rFonts w:ascii="宋体" w:eastAsia="宋体" w:hAnsi="宋体" w:cs="宋体"/>
          <w:bCs/>
        </w:rPr>
      </w:pPr>
      <w:r>
        <w:rPr>
          <w:rStyle w:val="af"/>
          <w:rFonts w:ascii="宋体" w:eastAsia="宋体" w:hAnsi="宋体" w:cs="宋体"/>
        </w:rPr>
        <w:t>文化与旅游融合发展</w:t>
      </w:r>
      <w:r>
        <w:rPr>
          <w:rFonts w:ascii="宋体" w:eastAsia="宋体" w:hAnsi="宋体" w:cs="宋体"/>
        </w:rPr>
        <w:t>：宁波美术馆通过与周边旅游资源的整合，打造了独特的文化艺术旅游线路，促进了文化与旅游的深度融合。</w:t>
      </w:r>
      <w:r>
        <w:rPr>
          <w:rFonts w:ascii="宋体" w:eastAsia="宋体" w:hAnsi="宋体" w:cs="宋体" w:hint="eastAsia"/>
          <w:vertAlign w:val="superscript"/>
        </w:rPr>
        <w:t>[5]</w:t>
      </w:r>
    </w:p>
    <w:p w14:paraId="15A2BD76" w14:textId="77777777" w:rsidR="003C7E59" w:rsidRDefault="00000000">
      <w:pPr>
        <w:snapToGrid w:val="0"/>
        <w:spacing w:line="300" w:lineRule="auto"/>
        <w:rPr>
          <w:rFonts w:ascii="宋体" w:eastAsia="宋体" w:hAnsi="宋体"/>
        </w:rPr>
      </w:pPr>
      <w:r>
        <w:rPr>
          <w:rFonts w:ascii="宋体" w:eastAsia="宋体" w:hAnsi="宋体" w:cs="宋体"/>
        </w:rPr>
        <w:t>宁波美术馆作为典范，展示了美术馆在提供公共服务、推动艺术普及和促进城市文化发展方面的重要作用，其经验值得其他城市和美术馆借鉴与学习。</w:t>
      </w:r>
    </w:p>
    <w:bookmarkEnd w:id="7"/>
    <w:p w14:paraId="1F4B1250" w14:textId="77777777" w:rsidR="003C7E59" w:rsidRDefault="00000000">
      <w:pPr>
        <w:snapToGrid w:val="0"/>
        <w:spacing w:line="300" w:lineRule="auto"/>
        <w:rPr>
          <w:rFonts w:ascii="宋体" w:eastAsia="宋体" w:hAnsi="宋体"/>
          <w:b/>
        </w:rPr>
      </w:pPr>
      <w:r>
        <w:rPr>
          <w:rFonts w:ascii="宋体" w:eastAsia="宋体" w:hAnsi="宋体" w:hint="eastAsia"/>
          <w:b/>
        </w:rPr>
        <w:t>六、政策改进与发展建议</w:t>
      </w:r>
    </w:p>
    <w:p w14:paraId="1E0A549E" w14:textId="77777777" w:rsidR="003C7E59" w:rsidRDefault="00000000">
      <w:pPr>
        <w:snapToGrid w:val="0"/>
        <w:spacing w:line="300" w:lineRule="auto"/>
        <w:rPr>
          <w:rFonts w:ascii="宋体" w:eastAsia="宋体" w:hAnsi="宋体"/>
          <w:b/>
        </w:rPr>
      </w:pPr>
      <w:r>
        <w:rPr>
          <w:rFonts w:ascii="宋体" w:eastAsia="宋体" w:hAnsi="宋体" w:hint="eastAsia"/>
          <w:b/>
        </w:rPr>
        <w:t>（一）针对短板提出改进建议</w:t>
      </w:r>
    </w:p>
    <w:p w14:paraId="0D5CE4CD" w14:textId="77777777" w:rsidR="003C7E59" w:rsidRDefault="00000000">
      <w:pPr>
        <w:snapToGrid w:val="0"/>
        <w:spacing w:line="300" w:lineRule="auto"/>
        <w:ind w:firstLine="420"/>
        <w:rPr>
          <w:rFonts w:ascii="宋体" w:eastAsia="宋体" w:hAnsi="宋体"/>
        </w:rPr>
      </w:pPr>
      <w:r>
        <w:rPr>
          <w:rStyle w:val="af"/>
          <w:rFonts w:ascii="宋体" w:eastAsia="宋体" w:hAnsi="宋体" w:cs="宋体"/>
        </w:rPr>
        <w:t>资源分配均衡化</w:t>
      </w:r>
      <w:r>
        <w:rPr>
          <w:rFonts w:ascii="宋体" w:eastAsia="宋体" w:hAnsi="宋体" w:cs="宋体"/>
        </w:rPr>
        <w:t>：针对地域之间、城乡之间公共文化服务资源分配不均的问题，政府应调整资金和资源分配策略，加大对偏远地区和农村的投入，确保所有人都能平等享受文化服务。</w:t>
      </w:r>
    </w:p>
    <w:p w14:paraId="3FC2572D" w14:textId="77777777" w:rsidR="003C7E59" w:rsidRDefault="00000000">
      <w:pPr>
        <w:snapToGrid w:val="0"/>
        <w:spacing w:line="300" w:lineRule="auto"/>
        <w:ind w:firstLine="420"/>
        <w:rPr>
          <w:rFonts w:ascii="宋体" w:eastAsia="宋体" w:hAnsi="宋体"/>
        </w:rPr>
      </w:pPr>
      <w:r>
        <w:rPr>
          <w:rStyle w:val="af"/>
          <w:rFonts w:ascii="宋体" w:eastAsia="宋体" w:hAnsi="宋体" w:cs="宋体"/>
        </w:rPr>
        <w:lastRenderedPageBreak/>
        <w:t>数字化转型加速</w:t>
      </w:r>
      <w:r>
        <w:rPr>
          <w:rFonts w:ascii="宋体" w:eastAsia="宋体" w:hAnsi="宋体" w:cs="宋体"/>
        </w:rPr>
        <w:t>：面对数字鸿沟，需加快公共文化服务的数字化进程，包括建立更加完善的在线服务平台，提供高质量的数字文化内容，以及提升公众的数字素养，确保所有人都能接入并利用数字文化资源。</w:t>
      </w:r>
    </w:p>
    <w:p w14:paraId="1D9736DC" w14:textId="77777777" w:rsidR="003C7E59" w:rsidRDefault="00000000">
      <w:pPr>
        <w:snapToGrid w:val="0"/>
        <w:spacing w:line="300" w:lineRule="auto"/>
        <w:ind w:firstLine="420"/>
        <w:rPr>
          <w:rFonts w:ascii="宋体" w:eastAsia="宋体" w:hAnsi="宋体"/>
        </w:rPr>
      </w:pPr>
      <w:r>
        <w:rPr>
          <w:rStyle w:val="af"/>
          <w:rFonts w:ascii="宋体" w:eastAsia="宋体" w:hAnsi="宋体" w:cs="宋体"/>
        </w:rPr>
        <w:t>多元化供给机制</w:t>
      </w:r>
      <w:r>
        <w:rPr>
          <w:rFonts w:ascii="宋体" w:eastAsia="宋体" w:hAnsi="宋体" w:cs="宋体"/>
        </w:rPr>
        <w:t>：鼓励社会力量参与公共文化服务供给，通过政府购买服务、公私合营等方式，引入更多元、更灵活的文化产品和服务，满足公众多样化需求。</w:t>
      </w:r>
      <w:r>
        <w:rPr>
          <w:rFonts w:ascii="宋体" w:eastAsia="宋体" w:hAnsi="宋体" w:cs="宋体"/>
        </w:rPr>
        <w:br/>
      </w:r>
    </w:p>
    <w:p w14:paraId="4D2063C6" w14:textId="77777777" w:rsidR="003C7E59" w:rsidRDefault="00000000">
      <w:pPr>
        <w:snapToGrid w:val="0"/>
        <w:spacing w:line="300" w:lineRule="auto"/>
        <w:rPr>
          <w:rFonts w:ascii="宋体" w:eastAsia="宋体" w:hAnsi="宋体"/>
          <w:b/>
        </w:rPr>
      </w:pPr>
      <w:r>
        <w:rPr>
          <w:rFonts w:ascii="宋体" w:eastAsia="宋体" w:hAnsi="宋体" w:hint="eastAsia"/>
          <w:b/>
        </w:rPr>
        <w:t>（二）政策指定与执行的优化措施</w:t>
      </w:r>
      <w:r>
        <w:rPr>
          <w:rFonts w:ascii="宋体" w:eastAsia="宋体" w:hAnsi="宋体" w:hint="eastAsia"/>
          <w:b/>
        </w:rPr>
        <w:br/>
      </w:r>
    </w:p>
    <w:p w14:paraId="6EA07234" w14:textId="77777777" w:rsidR="003C7E59" w:rsidRDefault="00000000">
      <w:pPr>
        <w:snapToGrid w:val="0"/>
        <w:spacing w:line="300" w:lineRule="auto"/>
        <w:ind w:firstLine="420"/>
        <w:rPr>
          <w:rFonts w:ascii="宋体" w:eastAsia="宋体" w:hAnsi="宋体" w:cs="宋体"/>
        </w:rPr>
      </w:pPr>
      <w:r>
        <w:rPr>
          <w:rStyle w:val="af"/>
          <w:rFonts w:ascii="宋体" w:eastAsia="宋体" w:hAnsi="宋体" w:cs="宋体"/>
        </w:rPr>
        <w:t>强化政策协同</w:t>
      </w:r>
      <w:r>
        <w:rPr>
          <w:rFonts w:ascii="宋体" w:eastAsia="宋体" w:hAnsi="宋体" w:cs="宋体"/>
        </w:rPr>
        <w:t>：建立跨部门协调机制，确保文化、教育、科技等部门在政策制定与执行上的紧密配合，形成合力，共同推进公共文化服务体系建设。</w:t>
      </w:r>
    </w:p>
    <w:p w14:paraId="1C4A157A" w14:textId="77777777" w:rsidR="003C7E59" w:rsidRDefault="00000000">
      <w:pPr>
        <w:snapToGrid w:val="0"/>
        <w:spacing w:line="300" w:lineRule="auto"/>
        <w:ind w:firstLine="420"/>
        <w:rPr>
          <w:rFonts w:ascii="宋体" w:eastAsia="宋体" w:hAnsi="宋体" w:cs="宋体"/>
        </w:rPr>
      </w:pPr>
      <w:r>
        <w:rPr>
          <w:rStyle w:val="af"/>
          <w:rFonts w:ascii="宋体" w:eastAsia="宋体" w:hAnsi="宋体" w:cs="宋体"/>
        </w:rPr>
        <w:t>科学评估与反馈</w:t>
      </w:r>
      <w:r>
        <w:rPr>
          <w:rFonts w:ascii="宋体" w:eastAsia="宋体" w:hAnsi="宋体" w:cs="宋体"/>
        </w:rPr>
        <w:t>：建立政策效果评估机制，定期对政策措施的实施效果进行评估，并根据评估结果及时调整优化政策，确保政策目标的有效实现。</w:t>
      </w:r>
    </w:p>
    <w:p w14:paraId="6126A20A" w14:textId="77777777" w:rsidR="003C7E59" w:rsidRDefault="00000000">
      <w:pPr>
        <w:snapToGrid w:val="0"/>
        <w:spacing w:line="300" w:lineRule="auto"/>
        <w:ind w:firstLine="420"/>
        <w:rPr>
          <w:rFonts w:ascii="宋体" w:eastAsia="宋体" w:hAnsi="宋体" w:cs="宋体"/>
        </w:rPr>
      </w:pPr>
      <w:r>
        <w:rPr>
          <w:rStyle w:val="af"/>
          <w:rFonts w:ascii="宋体" w:eastAsia="宋体" w:hAnsi="宋体" w:cs="宋体"/>
        </w:rPr>
        <w:t>透明化与公众参与</w:t>
      </w:r>
      <w:r>
        <w:rPr>
          <w:rFonts w:ascii="宋体" w:eastAsia="宋体" w:hAnsi="宋体" w:cs="宋体"/>
        </w:rPr>
        <w:t>：增加政策制定过程的透明度，鼓励公众参与政策讨论，反映民众真实需求，确保政策制定更加贴近民生，增强公众对政策的信任和支持。</w:t>
      </w:r>
    </w:p>
    <w:p w14:paraId="222346BB" w14:textId="77777777" w:rsidR="003C7E59" w:rsidRDefault="00000000">
      <w:pPr>
        <w:snapToGrid w:val="0"/>
        <w:spacing w:line="300" w:lineRule="auto"/>
        <w:rPr>
          <w:rFonts w:ascii="宋体" w:eastAsia="宋体" w:hAnsi="宋体"/>
        </w:rPr>
      </w:pPr>
      <w:r>
        <w:rPr>
          <w:rFonts w:ascii="宋体" w:eastAsia="宋体" w:hAnsi="宋体" w:hint="eastAsia"/>
        </w:rPr>
        <w:t>发展建议</w:t>
      </w:r>
    </w:p>
    <w:p w14:paraId="3E5D3964" w14:textId="77777777" w:rsidR="003C7E59" w:rsidRDefault="00000000">
      <w:pPr>
        <w:snapToGrid w:val="0"/>
        <w:spacing w:line="300" w:lineRule="auto"/>
        <w:ind w:firstLineChars="200" w:firstLine="480"/>
        <w:rPr>
          <w:rFonts w:ascii="宋体" w:eastAsia="宋体" w:hAnsi="宋体" w:cs="宋体"/>
        </w:rPr>
      </w:pPr>
      <w:r>
        <w:rPr>
          <w:rFonts w:ascii="宋体" w:eastAsia="宋体" w:hAnsi="宋体"/>
          <w:bCs/>
        </w:rPr>
        <w:t>提高公共文化服务投入</w:t>
      </w:r>
      <w:r>
        <w:rPr>
          <w:rFonts w:ascii="宋体" w:eastAsia="宋体" w:hAnsi="宋体" w:hint="eastAsia"/>
          <w:bCs/>
        </w:rPr>
        <w:t>：</w:t>
      </w:r>
      <w:r>
        <w:rPr>
          <w:rFonts w:ascii="宋体" w:eastAsia="宋体" w:hAnsi="宋体" w:cs="宋体"/>
        </w:rPr>
        <w:t>增加财政预算，确保公共文化服务有稳定且持续增长的资金支持，特别是要加大对基层文化设施建设、内容创作和人才培训的投入。</w:t>
      </w:r>
      <w:r>
        <w:rPr>
          <w:rFonts w:ascii="宋体" w:eastAsia="宋体" w:hAnsi="宋体" w:cs="宋体" w:hint="eastAsia"/>
          <w:vertAlign w:val="superscript"/>
        </w:rPr>
        <w:t>[6]</w:t>
      </w:r>
      <w:r>
        <w:rPr>
          <w:rFonts w:ascii="宋体" w:eastAsia="宋体" w:hAnsi="宋体"/>
          <w:bCs/>
        </w:rPr>
        <w:t>加强公共文化服务的推广和普及</w:t>
      </w:r>
      <w:r>
        <w:rPr>
          <w:rFonts w:ascii="宋体" w:eastAsia="宋体" w:hAnsi="宋体" w:hint="eastAsia"/>
          <w:bCs/>
        </w:rPr>
        <w:t>：</w:t>
      </w:r>
      <w:r>
        <w:rPr>
          <w:rFonts w:ascii="宋体" w:eastAsia="宋体" w:hAnsi="宋体" w:cs="宋体"/>
        </w:rPr>
        <w:t>利用传统媒体与新媒体结合的方式，广泛宣传公共文化服务项目，提高公众知晓率和参与度。同时，开展各类文化活动进社区、进校园，让文化服务更贴近群众生活。</w:t>
      </w:r>
    </w:p>
    <w:p w14:paraId="196F99C8" w14:textId="77777777" w:rsidR="003C7E59" w:rsidRDefault="00000000">
      <w:pPr>
        <w:snapToGrid w:val="0"/>
        <w:spacing w:line="300" w:lineRule="auto"/>
        <w:ind w:firstLineChars="200" w:firstLine="480"/>
        <w:rPr>
          <w:rFonts w:ascii="宋体" w:eastAsia="宋体" w:hAnsi="宋体"/>
        </w:rPr>
      </w:pPr>
      <w:r>
        <w:rPr>
          <w:rFonts w:ascii="宋体" w:eastAsia="宋体" w:hAnsi="宋体"/>
          <w:bCs/>
        </w:rPr>
        <w:t>建立健全公共文化服务评价体系</w:t>
      </w:r>
      <w:r>
        <w:rPr>
          <w:rFonts w:ascii="宋体" w:eastAsia="宋体" w:hAnsi="宋体" w:hint="eastAsia"/>
          <w:bCs/>
        </w:rPr>
        <w:t>：</w:t>
      </w:r>
      <w:r>
        <w:rPr>
          <w:rFonts w:ascii="宋体" w:eastAsia="宋体" w:hAnsi="宋体" w:cs="宋体"/>
        </w:rPr>
        <w:t>构建以公众满意度为核心，涵盖服务质量、覆盖范围、创新能力等多个维度的评价指标体系。通过定期调查、第三方评估等方式，收集数据，为政策调整和服务优化提供依据，确保公共文化服务的持续改进和高质量发展。</w:t>
      </w:r>
      <w:r>
        <w:rPr>
          <w:rFonts w:ascii="宋体" w:eastAsia="宋体" w:hAnsi="宋体" w:cs="宋体"/>
        </w:rPr>
        <w:br/>
      </w:r>
    </w:p>
    <w:p w14:paraId="696B4912" w14:textId="77777777" w:rsidR="003C7E59" w:rsidRDefault="00000000">
      <w:pPr>
        <w:snapToGrid w:val="0"/>
        <w:spacing w:line="300" w:lineRule="auto"/>
        <w:rPr>
          <w:rFonts w:ascii="宋体" w:eastAsia="宋体" w:hAnsi="宋体" w:cs="宋体"/>
        </w:rPr>
      </w:pPr>
      <w:r>
        <w:rPr>
          <w:rFonts w:ascii="宋体" w:eastAsia="宋体" w:hAnsi="宋体" w:hint="eastAsia"/>
          <w:b/>
        </w:rPr>
        <w:t>（二）</w:t>
      </w:r>
      <w:r>
        <w:rPr>
          <w:rFonts w:ascii="宋体" w:eastAsia="宋体" w:hAnsi="宋体" w:hint="eastAsia"/>
        </w:rPr>
        <w:t>研究总结</w:t>
      </w:r>
      <w:r>
        <w:rPr>
          <w:rFonts w:ascii="宋体" w:eastAsia="宋体" w:hAnsi="宋体" w:hint="eastAsia"/>
        </w:rPr>
        <w:br/>
      </w:r>
    </w:p>
    <w:p w14:paraId="53DF3950" w14:textId="77777777" w:rsidR="003C7E59" w:rsidRDefault="00000000">
      <w:pPr>
        <w:snapToGrid w:val="0"/>
        <w:spacing w:line="300" w:lineRule="auto"/>
        <w:rPr>
          <w:rFonts w:ascii="宋体" w:eastAsia="宋体" w:hAnsi="宋体"/>
          <w:bCs/>
        </w:rPr>
      </w:pPr>
      <w:r>
        <w:rPr>
          <w:rFonts w:ascii="宋体" w:eastAsia="宋体" w:hAnsi="宋体" w:hint="eastAsia"/>
          <w:bCs/>
        </w:rPr>
        <w:t>1.</w:t>
      </w:r>
      <w:r>
        <w:rPr>
          <w:rFonts w:ascii="宋体" w:eastAsia="宋体" w:hAnsi="宋体"/>
          <w:bCs/>
        </w:rPr>
        <w:t>新型工业化和新型城镇化过程中的公共文化服务现状及问题</w:t>
      </w:r>
    </w:p>
    <w:p w14:paraId="35A6A2FB" w14:textId="77777777" w:rsidR="003C7E59" w:rsidRDefault="00000000">
      <w:pPr>
        <w:snapToGrid w:val="0"/>
        <w:spacing w:line="300" w:lineRule="auto"/>
        <w:ind w:firstLineChars="200" w:firstLine="480"/>
        <w:rPr>
          <w:rFonts w:ascii="宋体" w:eastAsia="宋体" w:hAnsi="宋体" w:cs="宋体"/>
        </w:rPr>
      </w:pPr>
      <w:r>
        <w:rPr>
          <w:rFonts w:ascii="宋体" w:eastAsia="宋体" w:hAnsi="宋体" w:cs="宋体"/>
        </w:rPr>
        <w:t>新型工业化和新型城镇化进程中，我国公共文化服务取得了显著进步，表现为基础设施的不断完善、服务内容的日益丰富以及数字化转型的加速。图书馆、美术馆等公共文化设施的建设和升级，以及在线服务的普及，极大丰富了人民群众的精神文化生活。然而，仍面临一些挑战，包括城乡和地区间资源配置不均衡、数字化服务的普及程度与质量参差不齐、社会力量参与度不足以及公共文化服务与公众需求的精准匹配问题等。</w:t>
      </w:r>
      <w:r>
        <w:rPr>
          <w:rFonts w:ascii="宋体" w:eastAsia="宋体" w:hAnsi="宋体" w:cs="宋体" w:hint="eastAsia"/>
          <w:vertAlign w:val="superscript"/>
        </w:rPr>
        <w:t>[7]</w:t>
      </w:r>
      <w:r>
        <w:rPr>
          <w:rFonts w:ascii="宋体" w:eastAsia="宋体" w:hAnsi="宋体" w:cs="宋体" w:hint="eastAsia"/>
          <w:vertAlign w:val="superscript"/>
        </w:rPr>
        <w:br/>
      </w:r>
    </w:p>
    <w:p w14:paraId="54C746C2" w14:textId="77777777" w:rsidR="003C7E59" w:rsidRDefault="00000000">
      <w:pPr>
        <w:snapToGrid w:val="0"/>
        <w:spacing w:line="300" w:lineRule="auto"/>
        <w:rPr>
          <w:rFonts w:ascii="宋体" w:eastAsia="宋体" w:hAnsi="宋体"/>
          <w:bCs/>
        </w:rPr>
      </w:pPr>
      <w:r>
        <w:rPr>
          <w:rFonts w:ascii="宋体" w:eastAsia="宋体" w:hAnsi="宋体" w:hint="eastAsia"/>
          <w:b/>
        </w:rPr>
        <w:lastRenderedPageBreak/>
        <w:t>2.</w:t>
      </w:r>
      <w:r>
        <w:rPr>
          <w:rFonts w:ascii="宋体" w:eastAsia="宋体" w:hAnsi="宋体"/>
          <w:bCs/>
        </w:rPr>
        <w:t>未来发展方向和重点</w:t>
      </w:r>
    </w:p>
    <w:p w14:paraId="7BF25691" w14:textId="77777777" w:rsidR="003C7E59" w:rsidRDefault="00000000">
      <w:pPr>
        <w:snapToGrid w:val="0"/>
        <w:spacing w:line="300" w:lineRule="auto"/>
        <w:ind w:firstLineChars="200" w:firstLine="482"/>
        <w:rPr>
          <w:rFonts w:ascii="宋体" w:eastAsia="宋体" w:hAnsi="宋体" w:cs="宋体"/>
        </w:rPr>
      </w:pPr>
      <w:r>
        <w:rPr>
          <w:rStyle w:val="af"/>
          <w:rFonts w:ascii="宋体" w:eastAsia="宋体" w:hAnsi="宋体" w:cs="宋体"/>
        </w:rPr>
        <w:t>均衡化发展</w:t>
      </w:r>
      <w:r>
        <w:rPr>
          <w:rFonts w:ascii="宋体" w:eastAsia="宋体" w:hAnsi="宋体" w:cs="宋体"/>
        </w:rPr>
        <w:t>：继续推进公共文化服务均等化，加大对农村和边远地区的资源投入，缩小城乡、区域间的文化服务差距</w:t>
      </w:r>
      <w:r>
        <w:rPr>
          <w:rFonts w:ascii="宋体" w:eastAsia="宋体" w:hAnsi="宋体" w:cs="宋体" w:hint="eastAsia"/>
        </w:rPr>
        <w:t>；</w:t>
      </w:r>
      <w:r>
        <w:rPr>
          <w:rStyle w:val="af"/>
          <w:rFonts w:ascii="宋体" w:eastAsia="宋体" w:hAnsi="宋体" w:cs="宋体"/>
        </w:rPr>
        <w:t>深化数字化转型</w:t>
      </w:r>
      <w:r>
        <w:rPr>
          <w:rFonts w:ascii="宋体" w:eastAsia="宋体" w:hAnsi="宋体" w:cs="宋体"/>
        </w:rPr>
        <w:t>：充分利用大数据、人工智能等现代信息技术，优化服务体验，扩大服务覆盖面，提升服务效率和个性化水平</w:t>
      </w:r>
      <w:r>
        <w:rPr>
          <w:rFonts w:ascii="宋体" w:eastAsia="宋体" w:hAnsi="宋体" w:cs="宋体" w:hint="eastAsia"/>
        </w:rPr>
        <w:t>；</w:t>
      </w:r>
      <w:r>
        <w:rPr>
          <w:rStyle w:val="af"/>
          <w:rFonts w:ascii="宋体" w:eastAsia="宋体" w:hAnsi="宋体" w:cs="宋体"/>
        </w:rPr>
        <w:t>创新服务模式</w:t>
      </w:r>
      <w:r>
        <w:rPr>
          <w:rFonts w:ascii="宋体" w:eastAsia="宋体" w:hAnsi="宋体" w:cs="宋体"/>
        </w:rPr>
        <w:t>：鼓励多元主体参与，形成政府主导、社会力量广泛参与的公共文化服务供给体系，激发市场活力和社会创造力</w:t>
      </w:r>
      <w:r>
        <w:rPr>
          <w:rFonts w:ascii="宋体" w:eastAsia="宋体" w:hAnsi="宋体" w:cs="宋体" w:hint="eastAsia"/>
        </w:rPr>
        <w:t>；</w:t>
      </w:r>
      <w:r>
        <w:rPr>
          <w:rStyle w:val="af"/>
          <w:rFonts w:ascii="宋体" w:eastAsia="宋体" w:hAnsi="宋体" w:cs="宋体"/>
        </w:rPr>
        <w:t>强化资源整合</w:t>
      </w:r>
      <w:r>
        <w:rPr>
          <w:rFonts w:ascii="宋体" w:eastAsia="宋体" w:hAnsi="宋体" w:cs="宋体"/>
        </w:rPr>
        <w:t>：加强跨部门、跨区域的协作，整合文化、教育、科技等资源，形成协同效应，提升整体服务能力</w:t>
      </w:r>
      <w:r>
        <w:rPr>
          <w:rFonts w:ascii="宋体" w:eastAsia="宋体" w:hAnsi="宋体" w:cs="宋体" w:hint="eastAsia"/>
        </w:rPr>
        <w:t>；</w:t>
      </w:r>
      <w:r>
        <w:rPr>
          <w:rStyle w:val="af"/>
          <w:rFonts w:ascii="宋体" w:eastAsia="宋体" w:hAnsi="宋体" w:cs="宋体"/>
        </w:rPr>
        <w:t>注重需求导向</w:t>
      </w:r>
      <w:r>
        <w:rPr>
          <w:rFonts w:ascii="宋体" w:eastAsia="宋体" w:hAnsi="宋体" w:cs="宋体"/>
        </w:rPr>
        <w:t>：建立更加灵敏的需求响应机制，精准对接公众需求，提升公共文化服务的针对性和实效性</w:t>
      </w:r>
      <w:r>
        <w:rPr>
          <w:rFonts w:ascii="宋体" w:eastAsia="宋体" w:hAnsi="宋体" w:cs="宋体" w:hint="eastAsia"/>
        </w:rPr>
        <w:t>。</w:t>
      </w:r>
    </w:p>
    <w:p w14:paraId="1AEFED91" w14:textId="77777777" w:rsidR="003C7E59" w:rsidRDefault="003C7E59">
      <w:pPr>
        <w:snapToGrid w:val="0"/>
        <w:spacing w:line="300" w:lineRule="auto"/>
        <w:rPr>
          <w:rFonts w:ascii="宋体" w:eastAsia="宋体" w:hAnsi="宋体"/>
          <w:bCs/>
        </w:rPr>
      </w:pPr>
    </w:p>
    <w:p w14:paraId="017994F1" w14:textId="77777777" w:rsidR="003C7E59" w:rsidRDefault="00000000">
      <w:pPr>
        <w:snapToGrid w:val="0"/>
        <w:spacing w:line="300" w:lineRule="auto"/>
        <w:rPr>
          <w:rFonts w:ascii="宋体" w:eastAsia="宋体" w:hAnsi="宋体"/>
        </w:rPr>
      </w:pPr>
      <w:r>
        <w:rPr>
          <w:rFonts w:ascii="宋体" w:eastAsia="宋体" w:hAnsi="宋体" w:hint="eastAsia"/>
          <w:b/>
        </w:rPr>
        <w:t>（三）</w:t>
      </w:r>
      <w:r>
        <w:rPr>
          <w:rFonts w:ascii="宋体" w:eastAsia="宋体" w:hAnsi="宋体"/>
        </w:rPr>
        <w:t>研究展望</w:t>
      </w:r>
      <w:r>
        <w:rPr>
          <w:rFonts w:ascii="宋体" w:eastAsia="宋体" w:hAnsi="宋体"/>
        </w:rPr>
        <w:br/>
      </w:r>
    </w:p>
    <w:p w14:paraId="30539D0C" w14:textId="77777777" w:rsidR="003C7E59" w:rsidRDefault="00000000">
      <w:pPr>
        <w:snapToGrid w:val="0"/>
        <w:spacing w:line="300" w:lineRule="auto"/>
        <w:ind w:firstLineChars="200" w:firstLine="480"/>
        <w:rPr>
          <w:rFonts w:ascii="宋体" w:eastAsia="宋体" w:hAnsi="宋体"/>
          <w:b/>
          <w:bCs/>
          <w:color w:val="7030A0"/>
        </w:rPr>
      </w:pPr>
      <w:r>
        <w:rPr>
          <w:rFonts w:ascii="宋体" w:eastAsia="宋体" w:hAnsi="宋体" w:hint="eastAsia"/>
        </w:rPr>
        <w:t xml:space="preserve">1. </w:t>
      </w:r>
      <w:r>
        <w:rPr>
          <w:rFonts w:ascii="宋体" w:eastAsia="宋体" w:hAnsi="宋体" w:hint="eastAsia"/>
          <w:b/>
          <w:bCs/>
          <w:color w:val="7030A0"/>
        </w:rPr>
        <w:t>数字化与智能化引领公共文化服务创新</w:t>
      </w:r>
    </w:p>
    <w:p w14:paraId="12BC9162" w14:textId="77777777" w:rsidR="003C7E59" w:rsidRDefault="00000000">
      <w:pPr>
        <w:snapToGrid w:val="0"/>
        <w:spacing w:line="300" w:lineRule="auto"/>
        <w:ind w:firstLineChars="200" w:firstLine="480"/>
        <w:rPr>
          <w:rFonts w:ascii="宋体" w:eastAsia="宋体" w:hAnsi="宋体"/>
          <w:color w:val="7030A0"/>
        </w:rPr>
      </w:pPr>
      <w:r>
        <w:rPr>
          <w:rFonts w:ascii="宋体" w:eastAsia="宋体" w:hAnsi="宋体" w:hint="eastAsia"/>
          <w:color w:val="7030A0"/>
        </w:rPr>
        <w:t>随着新型工业化和新型城镇化的推进，公共文化服务正经历着深刻的数字化与智能化转型。未来的公共文化服务将依托先进的信息技术，如大数据、云计算、人工智能、虚拟现实（VR）和增强现实（AR）等，打造沉浸式的文化体验和便捷的服务平台。数字化将极大地丰富服务内容，使公众能够随时随地访问丰富的文化遗产和艺术资源；智能化则能提升服务的个性化和响应速度，满足多样化和定制化的文化需求。这一转型不仅提高了服务效率，还促进了创新服务形式的涌现，如在线虚拟展览、远程互动教育项目等，使得文化服务更加普及和便捷。</w:t>
      </w:r>
      <w:r>
        <w:rPr>
          <w:rFonts w:ascii="宋体" w:eastAsia="宋体" w:hAnsi="宋体" w:hint="eastAsia"/>
          <w:color w:val="7030A0"/>
        </w:rPr>
        <w:br/>
      </w:r>
    </w:p>
    <w:p w14:paraId="6722082C" w14:textId="77777777" w:rsidR="003C7E59" w:rsidRDefault="00000000">
      <w:pPr>
        <w:snapToGrid w:val="0"/>
        <w:spacing w:line="300" w:lineRule="auto"/>
        <w:ind w:firstLineChars="200" w:firstLine="480"/>
        <w:rPr>
          <w:rFonts w:ascii="宋体" w:eastAsia="宋体" w:hAnsi="宋体"/>
          <w:b/>
          <w:bCs/>
          <w:color w:val="7030A0"/>
        </w:rPr>
      </w:pPr>
      <w:r>
        <w:rPr>
          <w:rFonts w:ascii="宋体" w:eastAsia="宋体" w:hAnsi="宋体" w:hint="eastAsia"/>
          <w:color w:val="7030A0"/>
        </w:rPr>
        <w:t xml:space="preserve">2. </w:t>
      </w:r>
      <w:r>
        <w:rPr>
          <w:rFonts w:ascii="宋体" w:eastAsia="宋体" w:hAnsi="宋体" w:hint="eastAsia"/>
          <w:b/>
          <w:bCs/>
          <w:color w:val="7030A0"/>
        </w:rPr>
        <w:t>公众参与构建共治共享的公共文化生态</w:t>
      </w:r>
    </w:p>
    <w:p w14:paraId="1FA05E95" w14:textId="77777777" w:rsidR="003C7E59" w:rsidRDefault="00000000">
      <w:pPr>
        <w:snapToGrid w:val="0"/>
        <w:spacing w:line="300" w:lineRule="auto"/>
        <w:ind w:firstLineChars="200" w:firstLine="480"/>
        <w:rPr>
          <w:rFonts w:ascii="宋体" w:eastAsia="宋体" w:hAnsi="宋体"/>
          <w:color w:val="7030A0"/>
        </w:rPr>
      </w:pPr>
      <w:r>
        <w:rPr>
          <w:rFonts w:ascii="宋体" w:eastAsia="宋体" w:hAnsi="宋体" w:hint="eastAsia"/>
          <w:color w:val="7030A0"/>
        </w:rPr>
        <w:t>社会治理能力的提升和公民意识的增强，预示着公共文化服务将进入一个公众广泛参与的新阶段。未来，政府、社会组织和公民个人将形成合力，共同塑造一个开放、包容、互动的公共文化服务生态。公众将不再仅仅是服务的接受者，而是积极参与者和创造者，通过志愿服务、社区活动、</w:t>
      </w:r>
      <w:proofErr w:type="gramStart"/>
      <w:r>
        <w:rPr>
          <w:rFonts w:ascii="宋体" w:eastAsia="宋体" w:hAnsi="宋体" w:hint="eastAsia"/>
          <w:color w:val="7030A0"/>
        </w:rPr>
        <w:t>众筹项目</w:t>
      </w:r>
      <w:proofErr w:type="gramEnd"/>
      <w:r>
        <w:rPr>
          <w:rFonts w:ascii="宋体" w:eastAsia="宋体" w:hAnsi="宋体" w:hint="eastAsia"/>
          <w:color w:val="7030A0"/>
        </w:rPr>
        <w:t>等形式，贡献自己的智慧和资源，促进文化多样性和社区凝聚力。这种共治共享的模式将激发文化创新，加深公众对文化的认同感和归属感，推动社会文明的进步。</w:t>
      </w:r>
      <w:r>
        <w:rPr>
          <w:rFonts w:ascii="宋体" w:eastAsia="宋体" w:hAnsi="宋体" w:hint="eastAsia"/>
          <w:color w:val="7030A0"/>
        </w:rPr>
        <w:br/>
      </w:r>
    </w:p>
    <w:p w14:paraId="66594D26" w14:textId="77777777" w:rsidR="003C7E59" w:rsidRDefault="00000000">
      <w:pPr>
        <w:snapToGrid w:val="0"/>
        <w:spacing w:line="300" w:lineRule="auto"/>
        <w:ind w:firstLineChars="200" w:firstLine="480"/>
        <w:rPr>
          <w:rFonts w:ascii="宋体" w:eastAsia="宋体" w:hAnsi="宋体"/>
          <w:b/>
          <w:bCs/>
          <w:color w:val="7030A0"/>
        </w:rPr>
      </w:pPr>
      <w:r>
        <w:rPr>
          <w:rFonts w:ascii="宋体" w:eastAsia="宋体" w:hAnsi="宋体" w:hint="eastAsia"/>
          <w:color w:val="7030A0"/>
        </w:rPr>
        <w:t xml:space="preserve">3. </w:t>
      </w:r>
      <w:r>
        <w:rPr>
          <w:rFonts w:ascii="宋体" w:eastAsia="宋体" w:hAnsi="宋体" w:hint="eastAsia"/>
          <w:b/>
          <w:bCs/>
          <w:color w:val="7030A0"/>
        </w:rPr>
        <w:t>文化服务作为新型工业化和城镇化的核心驱动力</w:t>
      </w:r>
    </w:p>
    <w:p w14:paraId="0AF18E8A" w14:textId="77777777" w:rsidR="003C7E59" w:rsidRDefault="00000000">
      <w:pPr>
        <w:snapToGrid w:val="0"/>
        <w:spacing w:line="300" w:lineRule="auto"/>
        <w:ind w:firstLineChars="200" w:firstLine="480"/>
        <w:rPr>
          <w:rFonts w:ascii="宋体" w:eastAsia="宋体" w:hAnsi="宋体"/>
          <w:color w:val="7030A0"/>
        </w:rPr>
      </w:pPr>
      <w:r>
        <w:rPr>
          <w:rFonts w:ascii="宋体" w:eastAsia="宋体" w:hAnsi="宋体" w:hint="eastAsia"/>
          <w:color w:val="7030A0"/>
        </w:rPr>
        <w:t>在新型工业化和新型城镇化的背景下，公共文化服务不仅是城市发展的重要组成部分，更是推动社会文明进步和国家文化</w:t>
      </w:r>
      <w:proofErr w:type="gramStart"/>
      <w:r>
        <w:rPr>
          <w:rFonts w:ascii="宋体" w:eastAsia="宋体" w:hAnsi="宋体" w:hint="eastAsia"/>
          <w:color w:val="7030A0"/>
        </w:rPr>
        <w:t>软实力</w:t>
      </w:r>
      <w:proofErr w:type="gramEnd"/>
      <w:r>
        <w:rPr>
          <w:rFonts w:ascii="宋体" w:eastAsia="宋体" w:hAnsi="宋体" w:hint="eastAsia"/>
          <w:color w:val="7030A0"/>
        </w:rPr>
        <w:t>提升的关键力量。通过提供高质量的文化产品和服务，不仅能够满足人民群众的精神文化需求，促进人的全面发展，还能吸引人才和投资，提升城市的吸引力和竞争力。同时，文化服务与科技、教育、旅游等领域的深度融合，将产生新的经济增长点，为新型工业化和</w:t>
      </w:r>
      <w:r>
        <w:rPr>
          <w:rFonts w:ascii="宋体" w:eastAsia="宋体" w:hAnsi="宋体" w:hint="eastAsia"/>
          <w:color w:val="7030A0"/>
        </w:rPr>
        <w:lastRenderedPageBreak/>
        <w:t>城镇化提供源源不断的创新动力。最终，公共文化服务将成为衡量城市现代化水平和生活质量的重要指标，助力构建</w:t>
      </w:r>
      <w:proofErr w:type="gramStart"/>
      <w:r>
        <w:rPr>
          <w:rFonts w:ascii="宋体" w:eastAsia="宋体" w:hAnsi="宋体" w:hint="eastAsia"/>
          <w:color w:val="7030A0"/>
        </w:rPr>
        <w:t>和谐宜</w:t>
      </w:r>
      <w:proofErr w:type="gramEnd"/>
      <w:r>
        <w:rPr>
          <w:rFonts w:ascii="宋体" w:eastAsia="宋体" w:hAnsi="宋体" w:hint="eastAsia"/>
          <w:color w:val="7030A0"/>
        </w:rPr>
        <w:t>居、充满活力的城市环境。</w:t>
      </w:r>
    </w:p>
    <w:p w14:paraId="6FF5EE8A" w14:textId="77777777" w:rsidR="003C7E59" w:rsidRDefault="00000000">
      <w:pPr>
        <w:snapToGrid w:val="0"/>
        <w:spacing w:line="300" w:lineRule="auto"/>
        <w:ind w:firstLineChars="200" w:firstLine="480"/>
        <w:rPr>
          <w:rFonts w:ascii="宋体" w:eastAsia="宋体" w:hAnsi="宋体"/>
          <w:color w:val="7030A0"/>
        </w:rPr>
      </w:pPr>
      <w:r>
        <w:rPr>
          <w:rFonts w:ascii="宋体" w:eastAsia="宋体" w:hAnsi="宋体" w:hint="eastAsia"/>
          <w:color w:val="7030A0"/>
        </w:rPr>
        <w:t>这三个研究展望点共同描绘了一个充满希望的未来，其中公共文化服务将在数字化、公众参与和社会发展中扮演更加核心的角色，为实现社会的全面进步和人民的美好生活贡献力量。</w:t>
      </w:r>
    </w:p>
    <w:p w14:paraId="48CD1CFE" w14:textId="77777777" w:rsidR="003C7E59" w:rsidRDefault="003C7E59">
      <w:pPr>
        <w:snapToGrid w:val="0"/>
        <w:spacing w:line="300" w:lineRule="auto"/>
        <w:ind w:firstLineChars="200" w:firstLine="480"/>
        <w:rPr>
          <w:rFonts w:ascii="宋体" w:eastAsia="宋体" w:hAnsi="宋体"/>
        </w:rPr>
      </w:pPr>
    </w:p>
    <w:p w14:paraId="7FDE15A9" w14:textId="77777777" w:rsidR="003C7E59" w:rsidRDefault="003C7E59">
      <w:pPr>
        <w:snapToGrid w:val="0"/>
        <w:spacing w:line="300" w:lineRule="auto"/>
        <w:ind w:firstLineChars="200" w:firstLine="480"/>
        <w:rPr>
          <w:rFonts w:ascii="宋体" w:eastAsia="宋体" w:hAnsi="宋体"/>
        </w:rPr>
      </w:pPr>
    </w:p>
    <w:p w14:paraId="05F1E8FD" w14:textId="77777777" w:rsidR="003C7E59" w:rsidRDefault="00000000">
      <w:pPr>
        <w:snapToGrid w:val="0"/>
        <w:spacing w:line="300" w:lineRule="auto"/>
        <w:rPr>
          <w:rFonts w:ascii="宋体" w:eastAsia="宋体" w:hAnsi="宋体"/>
        </w:rPr>
      </w:pPr>
      <w:r>
        <w:rPr>
          <w:rFonts w:ascii="宋体" w:eastAsia="宋体" w:hAnsi="宋体" w:hint="eastAsia"/>
        </w:rPr>
        <w:t xml:space="preserve">参考文献：  </w:t>
      </w:r>
    </w:p>
    <w:p w14:paraId="2C83D74D" w14:textId="77777777" w:rsidR="003C7E59" w:rsidRDefault="00000000">
      <w:pPr>
        <w:snapToGrid w:val="0"/>
        <w:spacing w:line="300" w:lineRule="auto"/>
        <w:rPr>
          <w:rFonts w:ascii="宋体" w:eastAsia="宋体" w:hAnsi="宋体"/>
          <w:color w:val="666666"/>
          <w:shd w:val="clear" w:color="auto" w:fill="FFFFFF"/>
        </w:rPr>
      </w:pPr>
      <w:r>
        <w:rPr>
          <w:rFonts w:ascii="宋体" w:eastAsia="宋体" w:hAnsi="宋体"/>
          <w:color w:val="666666"/>
          <w:shd w:val="clear" w:color="auto" w:fill="FFFFFF"/>
        </w:rPr>
        <w:t>[1]李菲菲.利用美术馆资源  开展馆</w:t>
      </w:r>
      <w:proofErr w:type="gramStart"/>
      <w:r>
        <w:rPr>
          <w:rFonts w:ascii="宋体" w:eastAsia="宋体" w:hAnsi="宋体"/>
          <w:color w:val="666666"/>
          <w:shd w:val="clear" w:color="auto" w:fill="FFFFFF"/>
        </w:rPr>
        <w:t>校美教合作</w:t>
      </w:r>
      <w:proofErr w:type="gramEnd"/>
      <w:r>
        <w:rPr>
          <w:rFonts w:ascii="宋体" w:eastAsia="宋体" w:hAnsi="宋体"/>
          <w:color w:val="666666"/>
          <w:shd w:val="clear" w:color="auto" w:fill="FFFFFF"/>
        </w:rPr>
        <w:t>[J].美术教育研究,2024(08):107-109.</w:t>
      </w:r>
    </w:p>
    <w:p w14:paraId="58E770F3" w14:textId="77777777" w:rsidR="003C7E59" w:rsidRDefault="00000000">
      <w:pPr>
        <w:snapToGrid w:val="0"/>
        <w:spacing w:line="300" w:lineRule="auto"/>
        <w:rPr>
          <w:rFonts w:ascii="宋体" w:eastAsia="宋体" w:hAnsi="宋体"/>
          <w:color w:val="666666"/>
          <w:shd w:val="clear" w:color="auto" w:fill="FFFFFF"/>
        </w:rPr>
      </w:pPr>
      <w:r>
        <w:rPr>
          <w:rFonts w:ascii="宋体" w:eastAsia="宋体" w:hAnsi="宋体" w:hint="eastAsia"/>
          <w:color w:val="666666"/>
          <w:shd w:val="clear" w:color="auto" w:fill="FFFFFF"/>
        </w:rPr>
        <w:t>[2]刁霄宇.公共</w:t>
      </w:r>
      <w:proofErr w:type="gramStart"/>
      <w:r>
        <w:rPr>
          <w:rFonts w:ascii="宋体" w:eastAsia="宋体" w:hAnsi="宋体" w:hint="eastAsia"/>
          <w:color w:val="666666"/>
          <w:shd w:val="clear" w:color="auto" w:fill="FFFFFF"/>
        </w:rPr>
        <w:t>图书馆文旅融合</w:t>
      </w:r>
      <w:proofErr w:type="gramEnd"/>
      <w:r>
        <w:rPr>
          <w:rFonts w:ascii="宋体" w:eastAsia="宋体" w:hAnsi="宋体" w:hint="eastAsia"/>
          <w:color w:val="666666"/>
          <w:shd w:val="clear" w:color="auto" w:fill="FFFFFF"/>
        </w:rPr>
        <w:t>的实践与思考——以广州公共图书馆为例[J].图书馆研究,2024,54(03):18-29.</w:t>
      </w:r>
    </w:p>
    <w:p w14:paraId="41E4FB29" w14:textId="77777777" w:rsidR="003C7E59" w:rsidRDefault="00000000">
      <w:pPr>
        <w:snapToGrid w:val="0"/>
        <w:spacing w:line="300" w:lineRule="auto"/>
        <w:rPr>
          <w:rFonts w:ascii="宋体" w:eastAsia="宋体" w:hAnsi="宋体"/>
          <w:color w:val="666666"/>
          <w:shd w:val="clear" w:color="auto" w:fill="FFFFFF"/>
        </w:rPr>
      </w:pPr>
      <w:r>
        <w:rPr>
          <w:rFonts w:ascii="宋体" w:eastAsia="宋体" w:hAnsi="宋体" w:hint="eastAsia"/>
          <w:color w:val="666666"/>
          <w:shd w:val="clear" w:color="auto" w:fill="FFFFFF"/>
        </w:rPr>
        <w:t>[3]潘健.新媒体时代公共图书馆红色文献资源传播研究——以金陵图书馆为例[J].河北</w:t>
      </w:r>
      <w:proofErr w:type="gramStart"/>
      <w:r>
        <w:rPr>
          <w:rFonts w:ascii="宋体" w:eastAsia="宋体" w:hAnsi="宋体" w:hint="eastAsia"/>
          <w:color w:val="666666"/>
          <w:shd w:val="clear" w:color="auto" w:fill="FFFFFF"/>
        </w:rPr>
        <w:t>科技图苑</w:t>
      </w:r>
      <w:proofErr w:type="gramEnd"/>
      <w:r>
        <w:rPr>
          <w:rFonts w:ascii="宋体" w:eastAsia="宋体" w:hAnsi="宋体" w:hint="eastAsia"/>
          <w:color w:val="666666"/>
          <w:shd w:val="clear" w:color="auto" w:fill="FFFFFF"/>
        </w:rPr>
        <w:t>,2024,37(02):62-66+76.</w:t>
      </w:r>
    </w:p>
    <w:p w14:paraId="0884286B" w14:textId="77777777" w:rsidR="003C7E59" w:rsidRDefault="00000000">
      <w:pPr>
        <w:snapToGrid w:val="0"/>
        <w:spacing w:line="300" w:lineRule="auto"/>
        <w:rPr>
          <w:rFonts w:ascii="宋体" w:eastAsia="宋体" w:hAnsi="宋体"/>
          <w:color w:val="666666"/>
          <w:shd w:val="clear" w:color="auto" w:fill="FFFFFF"/>
        </w:rPr>
      </w:pPr>
      <w:r>
        <w:rPr>
          <w:rFonts w:ascii="宋体" w:eastAsia="宋体" w:hAnsi="宋体" w:hint="eastAsia"/>
          <w:color w:val="666666"/>
          <w:shd w:val="clear" w:color="auto" w:fill="FFFFFF"/>
        </w:rPr>
        <w:t>[4]黄磊.应用型视角下中俄高校冰雪景观设计教育资源共享策略研究[J].绥化学院学报,2019,39(03):129-131.</w:t>
      </w:r>
    </w:p>
    <w:p w14:paraId="510F4026" w14:textId="77777777" w:rsidR="003C7E59" w:rsidRDefault="00000000">
      <w:pPr>
        <w:snapToGrid w:val="0"/>
        <w:spacing w:line="300" w:lineRule="auto"/>
        <w:rPr>
          <w:rFonts w:ascii="宋体" w:eastAsia="宋体" w:hAnsi="宋体"/>
          <w:color w:val="666666"/>
          <w:shd w:val="clear" w:color="auto" w:fill="FFFFFF"/>
        </w:rPr>
      </w:pPr>
      <w:r>
        <w:rPr>
          <w:rFonts w:ascii="宋体" w:eastAsia="宋体" w:hAnsi="宋体" w:hint="eastAsia"/>
          <w:color w:val="666666"/>
          <w:shd w:val="clear" w:color="auto" w:fill="FFFFFF"/>
        </w:rPr>
        <w:t>[5]朱峰,</w:t>
      </w:r>
      <w:proofErr w:type="gramStart"/>
      <w:r>
        <w:rPr>
          <w:rFonts w:ascii="宋体" w:eastAsia="宋体" w:hAnsi="宋体" w:hint="eastAsia"/>
          <w:color w:val="666666"/>
          <w:shd w:val="clear" w:color="auto" w:fill="FFFFFF"/>
        </w:rPr>
        <w:t>杜佳玉</w:t>
      </w:r>
      <w:proofErr w:type="gramEnd"/>
      <w:r>
        <w:rPr>
          <w:rFonts w:ascii="宋体" w:eastAsia="宋体" w:hAnsi="宋体" w:hint="eastAsia"/>
          <w:color w:val="666666"/>
          <w:shd w:val="clear" w:color="auto" w:fill="FFFFFF"/>
        </w:rPr>
        <w:t>.共同富裕视域下青年参与乡村振兴的现实困境与破解对策[J].</w:t>
      </w:r>
      <w:proofErr w:type="gramStart"/>
      <w:r>
        <w:rPr>
          <w:rFonts w:ascii="宋体" w:eastAsia="宋体" w:hAnsi="宋体" w:hint="eastAsia"/>
          <w:color w:val="666666"/>
          <w:shd w:val="clear" w:color="auto" w:fill="FFFFFF"/>
        </w:rPr>
        <w:t>江苏商论</w:t>
      </w:r>
      <w:proofErr w:type="gramEnd"/>
      <w:r>
        <w:rPr>
          <w:rFonts w:ascii="宋体" w:eastAsia="宋体" w:hAnsi="宋体" w:hint="eastAsia"/>
          <w:color w:val="666666"/>
          <w:shd w:val="clear" w:color="auto" w:fill="FFFFFF"/>
        </w:rPr>
        <w:t xml:space="preserve">,2024,(07):117-119+127. </w:t>
      </w:r>
    </w:p>
    <w:p w14:paraId="511CE33F" w14:textId="77777777" w:rsidR="003C7E59" w:rsidRDefault="00000000">
      <w:pPr>
        <w:snapToGrid w:val="0"/>
        <w:spacing w:line="300" w:lineRule="auto"/>
        <w:rPr>
          <w:rFonts w:ascii="宋体" w:eastAsia="宋体" w:hAnsi="宋体"/>
          <w:color w:val="666666"/>
          <w:shd w:val="clear" w:color="auto" w:fill="FFFFFF"/>
        </w:rPr>
      </w:pPr>
      <w:r>
        <w:rPr>
          <w:rFonts w:ascii="宋体" w:eastAsia="宋体" w:hAnsi="宋体" w:hint="eastAsia"/>
          <w:color w:val="666666"/>
          <w:shd w:val="clear" w:color="auto" w:fill="FFFFFF"/>
        </w:rPr>
        <w:t>[6]罗伯特·B·丹哈特,珍妮特·V·丹哈特,刘俊生.新公共服务:服务而非掌舵[J].中国行政管理,2002,(10):38-44.</w:t>
      </w:r>
    </w:p>
    <w:p w14:paraId="5C46C1E0" w14:textId="77777777" w:rsidR="003C7E59" w:rsidRDefault="00000000">
      <w:pPr>
        <w:snapToGrid w:val="0"/>
        <w:spacing w:line="300" w:lineRule="auto"/>
        <w:rPr>
          <w:rFonts w:ascii="宋体" w:eastAsia="宋体" w:hAnsi="宋体"/>
        </w:rPr>
      </w:pPr>
      <w:r>
        <w:rPr>
          <w:rFonts w:ascii="宋体" w:eastAsia="宋体" w:hAnsi="宋体" w:hint="eastAsia"/>
          <w:color w:val="666666"/>
          <w:shd w:val="clear" w:color="auto" w:fill="FFFFFF"/>
        </w:rPr>
        <w:t>[7]安体富,</w:t>
      </w:r>
      <w:proofErr w:type="gramStart"/>
      <w:r>
        <w:rPr>
          <w:rFonts w:ascii="宋体" w:eastAsia="宋体" w:hAnsi="宋体" w:hint="eastAsia"/>
          <w:color w:val="666666"/>
          <w:shd w:val="clear" w:color="auto" w:fill="FFFFFF"/>
        </w:rPr>
        <w:t>任强</w:t>
      </w:r>
      <w:proofErr w:type="gramEnd"/>
      <w:r>
        <w:rPr>
          <w:rFonts w:ascii="宋体" w:eastAsia="宋体" w:hAnsi="宋体" w:hint="eastAsia"/>
          <w:color w:val="666666"/>
          <w:shd w:val="clear" w:color="auto" w:fill="FFFFFF"/>
        </w:rPr>
        <w:t>.公共服务均等化:理论、问题与对策[J].财贸经济,2007,(08):48-53+129.</w:t>
      </w:r>
    </w:p>
    <w:sectPr w:rsidR="003C7E59">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D2C4B9" w14:textId="77777777" w:rsidR="00D052F9" w:rsidRDefault="00D052F9">
      <w:r>
        <w:separator/>
      </w:r>
    </w:p>
  </w:endnote>
  <w:endnote w:type="continuationSeparator" w:id="0">
    <w:p w14:paraId="7EBF5E3D" w14:textId="77777777" w:rsidR="00D052F9" w:rsidRDefault="00D05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0263958"/>
    </w:sdtPr>
    <w:sdtContent>
      <w:sdt>
        <w:sdtPr>
          <w:id w:val="1728636285"/>
        </w:sdtPr>
        <w:sdtContent>
          <w:p w14:paraId="08EDA5CE" w14:textId="77777777" w:rsidR="003C7E59" w:rsidRDefault="003C7E59">
            <w:pPr>
              <w:pStyle w:val="a5"/>
              <w:jc w:val="center"/>
            </w:pPr>
          </w:p>
          <w:p w14:paraId="1FFE9167" w14:textId="77777777" w:rsidR="003C7E59" w:rsidRDefault="00000000">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10</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11</w:t>
            </w:r>
            <w:r>
              <w:rPr>
                <w:b/>
                <w:bCs/>
                <w:sz w:val="24"/>
                <w:szCs w:val="24"/>
              </w:rPr>
              <w:fldChar w:fldCharType="end"/>
            </w:r>
          </w:p>
        </w:sdtContent>
      </w:sdt>
    </w:sdtContent>
  </w:sdt>
  <w:p w14:paraId="041CCD6D" w14:textId="77777777" w:rsidR="003C7E59" w:rsidRDefault="003C7E5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A6BB4E" w14:textId="77777777" w:rsidR="00D052F9" w:rsidRDefault="00D052F9">
      <w:r>
        <w:separator/>
      </w:r>
    </w:p>
  </w:footnote>
  <w:footnote w:type="continuationSeparator" w:id="0">
    <w:p w14:paraId="609F82F3" w14:textId="77777777" w:rsidR="00D052F9" w:rsidRDefault="00D052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5963C12"/>
    <w:multiLevelType w:val="singleLevel"/>
    <w:tmpl w:val="A5963C12"/>
    <w:lvl w:ilvl="0">
      <w:start w:val="3"/>
      <w:numFmt w:val="chineseCounting"/>
      <w:suff w:val="nothing"/>
      <w:lvlText w:val="%1、"/>
      <w:lvlJc w:val="left"/>
      <w:rPr>
        <w:rFonts w:hint="eastAsia"/>
      </w:rPr>
    </w:lvl>
  </w:abstractNum>
  <w:abstractNum w:abstractNumId="1" w15:restartNumberingAfterBreak="0">
    <w:nsid w:val="F47E2EA5"/>
    <w:multiLevelType w:val="singleLevel"/>
    <w:tmpl w:val="F47E2EA5"/>
    <w:lvl w:ilvl="0">
      <w:start w:val="1"/>
      <w:numFmt w:val="decimal"/>
      <w:suff w:val="space"/>
      <w:lvlText w:val="%1."/>
      <w:lvlJc w:val="left"/>
      <w:pPr>
        <w:ind w:left="420"/>
      </w:pPr>
    </w:lvl>
  </w:abstractNum>
  <w:num w:numId="1" w16cid:durableId="1234851078">
    <w:abstractNumId w:val="0"/>
  </w:num>
  <w:num w:numId="2" w16cid:durableId="673920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jEzM2VmZGQyNzljNGEzNWIzZGMzNDY5NDFjNDA4YTEifQ=="/>
  </w:docVars>
  <w:rsids>
    <w:rsidRoot w:val="00C40399"/>
    <w:rsid w:val="00134058"/>
    <w:rsid w:val="001D6AA3"/>
    <w:rsid w:val="001F16A9"/>
    <w:rsid w:val="003B783F"/>
    <w:rsid w:val="003C7E59"/>
    <w:rsid w:val="004C6EAC"/>
    <w:rsid w:val="00524B5E"/>
    <w:rsid w:val="005830CA"/>
    <w:rsid w:val="00702F77"/>
    <w:rsid w:val="00720AEE"/>
    <w:rsid w:val="00782823"/>
    <w:rsid w:val="007A162E"/>
    <w:rsid w:val="007E1FC0"/>
    <w:rsid w:val="009154A4"/>
    <w:rsid w:val="00952D98"/>
    <w:rsid w:val="0095758D"/>
    <w:rsid w:val="00AB6837"/>
    <w:rsid w:val="00B46409"/>
    <w:rsid w:val="00B547A8"/>
    <w:rsid w:val="00BD2EBF"/>
    <w:rsid w:val="00C40399"/>
    <w:rsid w:val="00C948B2"/>
    <w:rsid w:val="00C958B4"/>
    <w:rsid w:val="00D01D7E"/>
    <w:rsid w:val="00D052F9"/>
    <w:rsid w:val="00E64310"/>
    <w:rsid w:val="00F515B8"/>
    <w:rsid w:val="00FC2896"/>
    <w:rsid w:val="00FD1F21"/>
    <w:rsid w:val="00FD6DD5"/>
    <w:rsid w:val="0D69283C"/>
    <w:rsid w:val="10CF7577"/>
    <w:rsid w:val="1CD54FD2"/>
    <w:rsid w:val="20863C86"/>
    <w:rsid w:val="33D862E3"/>
    <w:rsid w:val="4B5F041E"/>
    <w:rsid w:val="4DCC5BF0"/>
    <w:rsid w:val="56E3558E"/>
    <w:rsid w:val="623B53C7"/>
    <w:rsid w:val="787925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3E173CF"/>
  <w15:docId w15:val="{4F74C903-9267-44DE-BB43-D8956291D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heme="minorHAnsi" w:eastAsiaTheme="minorEastAsia" w:hAnsiTheme="minorHAnsi"/>
      <w:sz w:val="24"/>
      <w:szCs w:val="24"/>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tabs>
        <w:tab w:val="center" w:pos="4153"/>
        <w:tab w:val="right" w:pos="8306"/>
      </w:tabs>
      <w:snapToGrid w:val="0"/>
      <w:jc w:val="center"/>
    </w:pPr>
    <w:rPr>
      <w:sz w:val="18"/>
      <w:szCs w:val="18"/>
    </w:rPr>
  </w:style>
  <w:style w:type="paragraph" w:styleId="a9">
    <w:name w:val="Subtitle"/>
    <w:basedOn w:val="a"/>
    <w:next w:val="a"/>
    <w:link w:val="aa"/>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b">
    <w:name w:val="Normal (Web)"/>
    <w:basedOn w:val="a"/>
    <w:uiPriority w:val="99"/>
    <w:semiHidden/>
    <w:unhideWhenUsed/>
    <w:pPr>
      <w:spacing w:beforeAutospacing="1" w:afterAutospacing="1"/>
    </w:pPr>
  </w:style>
  <w:style w:type="paragraph" w:styleId="ac">
    <w:name w:val="Title"/>
    <w:basedOn w:val="a"/>
    <w:next w:val="a"/>
    <w:link w:val="ad"/>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e">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rPr>
  </w:style>
  <w:style w:type="character" w:styleId="af0">
    <w:name w:val="Hyperlink"/>
    <w:basedOn w:val="a0"/>
    <w:uiPriority w:val="99"/>
    <w:semiHidden/>
    <w:unhideWhenUsed/>
    <w:rPr>
      <w:color w:val="0000FF"/>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d">
    <w:name w:val="标题 字符"/>
    <w:basedOn w:val="a0"/>
    <w:link w:val="ac"/>
    <w:uiPriority w:val="10"/>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rPr>
      <w:rFonts w:asciiTheme="majorHAnsi" w:eastAsiaTheme="majorEastAsia" w:hAnsiTheme="majorHAnsi" w:cstheme="majorBidi"/>
      <w:color w:val="595959" w:themeColor="text1" w:themeTint="A6"/>
      <w:spacing w:val="15"/>
      <w:sz w:val="28"/>
      <w:szCs w:val="28"/>
    </w:rPr>
  </w:style>
  <w:style w:type="paragraph" w:styleId="af1">
    <w:name w:val="Quote"/>
    <w:basedOn w:val="a"/>
    <w:next w:val="a"/>
    <w:link w:val="af2"/>
    <w:uiPriority w:val="29"/>
    <w:qFormat/>
    <w:pPr>
      <w:spacing w:before="160" w:after="160"/>
      <w:jc w:val="center"/>
    </w:pPr>
    <w:rPr>
      <w:i/>
      <w:iCs/>
      <w:color w:val="404040" w:themeColor="text1" w:themeTint="BF"/>
    </w:rPr>
  </w:style>
  <w:style w:type="character" w:customStyle="1" w:styleId="af2">
    <w:name w:val="引用 字符"/>
    <w:basedOn w:val="a0"/>
    <w:link w:val="af1"/>
    <w:uiPriority w:val="29"/>
    <w:qFormat/>
    <w:rPr>
      <w:i/>
      <w:iCs/>
      <w:color w:val="404040" w:themeColor="text1" w:themeTint="BF"/>
    </w:rPr>
  </w:style>
  <w:style w:type="paragraph" w:styleId="af3">
    <w:name w:val="List Paragraph"/>
    <w:basedOn w:val="a"/>
    <w:uiPriority w:val="99"/>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4">
    <w:name w:val="Intense Quote"/>
    <w:basedOn w:val="a"/>
    <w:next w:val="a"/>
    <w:link w:val="af5"/>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0"/>
    <w:link w:val="af4"/>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rPr>
      <w:rFonts w:asciiTheme="minorHAnsi" w:eastAsiaTheme="minorEastAsia"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26561564-326B-41B5-9AE5-32EA7ED3E6A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14</Pages>
  <Words>1707</Words>
  <Characters>9731</Characters>
  <Application>Microsoft Office Word</Application>
  <DocSecurity>0</DocSecurity>
  <Lines>81</Lines>
  <Paragraphs>22</Paragraphs>
  <ScaleCrop>false</ScaleCrop>
  <Company/>
  <LinksUpToDate>false</LinksUpToDate>
  <CharactersWithSpaces>11416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Vel</dc:creator>
  <cp:lastModifiedBy>- Vel</cp:lastModifiedBy>
  <cp:revision>10</cp:revision>
  <dcterms:created xsi:type="dcterms:W3CDTF">2024-06-26T05:20:00Z</dcterms:created>
  <dcterms:modified xsi:type="dcterms:W3CDTF">2024-07-05T15:14:00Z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8BC72B5DBA2143708D80028717EAA6AA_13</vt:lpwstr>
  </property>
</Properties>
</file>