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937"/>
          <w:sz w:val="32"/>
          <w:szCs w:val="32"/>
        </w:rPr>
        <w:t xml:space="preserve">VELACORE HEALTH</w:t>
      </w:r>
    </w:p>
    <w:p>
      <w:pPr>
        <w:spacing w:after="40"/>
        <w:jc w:val="center"/>
      </w:pPr>
      <w:r>
        <w:rPr>
          <w:color w:val="555555"/>
          <w:sz w:val="24"/>
          <w:szCs w:val="24"/>
        </w:rPr>
        <w:t xml:space="preserve">Standard Operating Procedure</w:t>
      </w:r>
    </w:p>
    <w:p>
      <w:pPr>
        <w:spacing w:after="40"/>
        <w:jc w:val="center"/>
      </w:pPr>
      <w:r>
        <w:rPr>
          <w:b/>
          <w:bCs/>
          <w:color w:val="0C8F72"/>
          <w:sz w:val="26"/>
          <w:szCs w:val="26"/>
        </w:rPr>
        <w:t xml:space="preserve">SOP-03</w:t>
      </w:r>
    </w:p>
    <w:p>
      <w:pPr>
        <w:spacing w:after="200"/>
        <w:jc w:val="center"/>
      </w:pPr>
      <w:r>
        <w:rPr>
          <w:b/>
          <w:bCs/>
          <w:color w:val="1F2937"/>
          <w:sz w:val="30"/>
          <w:szCs w:val="30"/>
        </w:rPr>
        <w:t xml:space="preserve">Prescription Handling Policy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E8F2EF" w:val="clear"/>
            <w:tcMar>
              <w:top w:type="dxa" w:w="60"/>
              <w:left w:type="dxa" w:w="100"/>
              <w:bottom w:type="dxa" w:w="60"/>
              <w:right w:type="dxa" w:w="100"/>
            </w:tcMar>
          </w:tcPr>
          <w:p>
            <w:r>
              <w:rPr>
                <w:b/>
                <w:bCs/>
                <w:sz w:val="20"/>
                <w:szCs w:val="20"/>
              </w:rPr>
              <w:t xml:space="preserve">Document Owner</w:t>
            </w:r>
          </w:p>
        </w:tc>
        <w:tc>
          <w:tcPr>
            <w:tcW w:type="dxa" w:w="6000"/>
            <w:shd w:fill="E8F2EF" w:val="clear"/>
            <w:tcMar>
              <w:top w:type="dxa" w:w="60"/>
              <w:left w:type="dxa" w:w="100"/>
              <w:bottom w:type="dxa" w:w="60"/>
              <w:right w:type="dxa" w:w="100"/>
            </w:tcMar>
          </w:tcPr>
          <w:p>
            <w:r>
              <w:rPr>
                <w:b/>
                <w:bCs/>
                <w:sz w:val="20"/>
                <w:szCs w:val="20"/>
              </w:rPr>
              <w:t xml:space="preserve">[Jonathan Douglass - Compliance &amp; Operations]</w:t>
            </w:r>
          </w:p>
        </w:tc>
      </w:tr>
      <w:tr>
        <w:tc>
          <w:tcPr>
            <w:tcW w:type="dxa" w:w="3200"/>
            <w:tcMar>
              <w:top w:type="dxa" w:w="60"/>
              <w:left w:type="dxa" w:w="100"/>
              <w:bottom w:type="dxa" w:w="60"/>
              <w:right w:type="dxa" w:w="100"/>
            </w:tcMar>
          </w:tcPr>
          <w:p>
            <w:r>
              <w:rPr>
                <w:b w:val="false"/>
                <w:bCs w:val="false"/>
                <w:sz w:val="20"/>
                <w:szCs w:val="20"/>
              </w:rPr>
              <w:t xml:space="preserve">Clinical Authority</w:t>
            </w:r>
          </w:p>
        </w:tc>
        <w:tc>
          <w:tcPr>
            <w:tcW w:type="dxa" w:w="6000"/>
            <w:tcMar>
              <w:top w:type="dxa" w:w="60"/>
              <w:left w:type="dxa" w:w="100"/>
              <w:bottom w:type="dxa" w:w="60"/>
              <w:right w:type="dxa" w:w="100"/>
            </w:tcMar>
          </w:tcPr>
          <w:p>
            <w:r>
              <w:rPr>
                <w:b w:val="false"/>
                <w:bCs w:val="false"/>
                <w:sz w:val="20"/>
                <w:szCs w:val="20"/>
              </w:rPr>
              <w:t xml:space="preserve">[Asher Medical - Dr. Crystal Broussard MD]</w:t>
            </w:r>
          </w:p>
        </w:tc>
      </w:tr>
      <w:tr>
        <w:tc>
          <w:tcPr>
            <w:tcW w:type="dxa" w:w="3200"/>
            <w:tcMar>
              <w:top w:type="dxa" w:w="60"/>
              <w:left w:type="dxa" w:w="100"/>
              <w:bottom w:type="dxa" w:w="60"/>
              <w:right w:type="dxa" w:w="100"/>
            </w:tcMar>
          </w:tcPr>
          <w:p>
            <w:r>
              <w:rPr>
                <w:b w:val="false"/>
                <w:bCs w:val="false"/>
                <w:sz w:val="20"/>
                <w:szCs w:val="20"/>
              </w:rPr>
              <w:t xml:space="preserve">Effective Date</w:t>
            </w:r>
          </w:p>
        </w:tc>
        <w:tc>
          <w:tcPr>
            <w:tcW w:type="dxa" w:w="6000"/>
            <w:tcMar>
              <w:top w:type="dxa" w:w="60"/>
              <w:left w:type="dxa" w:w="100"/>
              <w:bottom w:type="dxa" w:w="60"/>
              <w:right w:type="dxa" w:w="100"/>
            </w:tcMar>
          </w:tcPr>
          <w:p>
            <w:r>
              <w:rPr>
                <w:b w:val="false"/>
                <w:bCs w:val="false"/>
                <w:sz w:val="20"/>
                <w:szCs w:val="20"/>
              </w:rPr>
              <w:t xml:space="preserve">[__/__/2026]</w:t>
            </w:r>
          </w:p>
        </w:tc>
      </w:tr>
      <w:tr>
        <w:tc>
          <w:tcPr>
            <w:tcW w:type="dxa" w:w="3200"/>
            <w:tcMar>
              <w:top w:type="dxa" w:w="60"/>
              <w:left w:type="dxa" w:w="100"/>
              <w:bottom w:type="dxa" w:w="60"/>
              <w:right w:type="dxa" w:w="100"/>
            </w:tcMar>
          </w:tcPr>
          <w:p>
            <w:r>
              <w:rPr>
                <w:b w:val="false"/>
                <w:bCs w:val="false"/>
                <w:sz w:val="20"/>
                <w:szCs w:val="20"/>
              </w:rPr>
              <w:t xml:space="preserve">Version</w:t>
            </w:r>
          </w:p>
        </w:tc>
        <w:tc>
          <w:tcPr>
            <w:tcW w:type="dxa" w:w="6000"/>
            <w:tcMar>
              <w:top w:type="dxa" w:w="60"/>
              <w:left w:type="dxa" w:w="100"/>
              <w:bottom w:type="dxa" w:w="60"/>
              <w:right w:type="dxa" w:w="100"/>
            </w:tcMar>
          </w:tcPr>
          <w:p>
            <w:r>
              <w:rPr>
                <w:b w:val="false"/>
                <w:bCs w:val="false"/>
                <w:sz w:val="20"/>
                <w:szCs w:val="20"/>
              </w:rPr>
              <w:t xml:space="preserve">1.0 (draft for review)</w:t>
            </w:r>
          </w:p>
        </w:tc>
      </w:tr>
      <w:tr>
        <w:tc>
          <w:tcPr>
            <w:tcW w:type="dxa" w:w="3200"/>
            <w:tcMar>
              <w:top w:type="dxa" w:w="60"/>
              <w:left w:type="dxa" w:w="100"/>
              <w:bottom w:type="dxa" w:w="60"/>
              <w:right w:type="dxa" w:w="100"/>
            </w:tcMar>
          </w:tcPr>
          <w:p>
            <w:r>
              <w:rPr>
                <w:b w:val="false"/>
                <w:bCs w:val="false"/>
                <w:sz w:val="20"/>
                <w:szCs w:val="20"/>
              </w:rPr>
              <w:t xml:space="preserve">Review Cycle</w:t>
            </w:r>
          </w:p>
        </w:tc>
        <w:tc>
          <w:tcPr>
            <w:tcW w:type="dxa" w:w="6000"/>
            <w:tcMar>
              <w:top w:type="dxa" w:w="60"/>
              <w:left w:type="dxa" w:w="100"/>
              <w:bottom w:type="dxa" w:w="60"/>
              <w:right w:type="dxa" w:w="100"/>
            </w:tcMar>
          </w:tcPr>
          <w:p>
            <w:r>
              <w:rPr>
                <w:b w:val="false"/>
                <w:bCs w:val="false"/>
                <w:sz w:val="20"/>
                <w:szCs w:val="20"/>
              </w:rPr>
              <w:t xml:space="preserve">Annual, or upon material change to vendors, law, or workflow</w:t>
            </w:r>
          </w:p>
        </w:tc>
      </w:tr>
      <w:tr>
        <w:tc>
          <w:tcPr>
            <w:tcW w:type="dxa" w:w="3200"/>
            <w:tcMar>
              <w:top w:type="dxa" w:w="60"/>
              <w:left w:type="dxa" w:w="100"/>
              <w:bottom w:type="dxa" w:w="60"/>
              <w:right w:type="dxa" w:w="100"/>
            </w:tcMar>
          </w:tcPr>
          <w:p>
            <w:r>
              <w:rPr>
                <w:b w:val="false"/>
                <w:bCs w:val="false"/>
                <w:sz w:val="20"/>
                <w:szCs w:val="20"/>
              </w:rPr>
              <w:t xml:space="preserve">Last Reviewed</w:t>
            </w:r>
          </w:p>
        </w:tc>
        <w:tc>
          <w:tcPr>
            <w:tcW w:type="dxa" w:w="6000"/>
            <w:tcMar>
              <w:top w:type="dxa" w:w="60"/>
              <w:left w:type="dxa" w:w="100"/>
              <w:bottom w:type="dxa" w:w="60"/>
              <w:right w:type="dxa" w:w="100"/>
            </w:tcMar>
          </w:tcPr>
          <w:p>
            <w:r>
              <w:rPr>
                <w:b w:val="false"/>
                <w:bCs w:val="false"/>
                <w:sz w:val="20"/>
                <w:szCs w:val="20"/>
              </w:rPr>
              <w:t xml:space="preserve">[07/23/2026]</w:t>
            </w:r>
          </w:p>
        </w:tc>
      </w:tr>
    </w:tbl>
    <w:p>
      <w:pPr>
        <w:pStyle w:val="Heading1"/>
        <w:spacing w:after="120" w:before="280"/>
      </w:pPr>
      <w:r>
        <w:rPr>
          <w:b/>
          <w:bCs/>
          <w:color w:val="1F2937"/>
          <w:sz w:val="26"/>
          <w:szCs w:val="26"/>
        </w:rPr>
        <w:t xml:space="preserve">1. Purpose</w:t>
      </w:r>
    </w:p>
    <w:p>
      <w:pPr>
        <w:spacing w:after="120"/>
      </w:pPr>
      <w:r>
        <w:rPr>
          <w:sz w:val="22"/>
          <w:szCs w:val="22"/>
        </w:rPr>
        <w:t xml:space="preserve">This policy defines how prescriptions are processed, tracked, and fulfilled for Velacore Health customers: how an approved clinical decision moves from the AsherMed partner physician to the 503A compounding pharmacy, what Velacore's administrative role is at each step, and the controls that keep Velacore out of the practice of medicine and pharmacy. It supports LegitScript certification and mirrors SOP-01 (HIPAA) and SOP-02 (Intake).</w:t>
      </w:r>
    </w:p>
    <w:p>
      <w:pPr>
        <w:pStyle w:val="Heading1"/>
        <w:spacing w:after="120" w:before="280"/>
      </w:pPr>
      <w:r>
        <w:rPr>
          <w:b/>
          <w:bCs/>
          <w:color w:val="1F2937"/>
          <w:sz w:val="26"/>
          <w:szCs w:val="26"/>
        </w:rPr>
        <w:t xml:space="preserve">2. Scope</w:t>
      </w:r>
    </w:p>
    <w:p>
      <w:pPr>
        <w:spacing w:after="120"/>
      </w:pPr>
      <w:r>
        <w:rPr>
          <w:sz w:val="22"/>
          <w:szCs w:val="22"/>
        </w:rPr>
        <w:t xml:space="preserve">Applies to every prescription-eligible order coordinated through Velacore, and to all personnel and systems involved after intake: the AsherMed platform, the partner physician, the dispensing 503A compounding pharmacy, and Velacore Compliance/Operations. Velacore never creates, modifies, transmits, or fills a prescription.</w:t>
      </w:r>
    </w:p>
    <w:p>
      <w:pPr>
        <w:pStyle w:val="Heading1"/>
        <w:spacing w:after="120" w:before="280"/>
      </w:pPr>
      <w:r>
        <w:rPr>
          <w:b/>
          <w:bCs/>
          <w:color w:val="1F2937"/>
          <w:sz w:val="26"/>
          <w:szCs w:val="26"/>
        </w:rPr>
        <w:t xml:space="preserve">3. Roles &amp; Boundaries</w:t>
      </w:r>
    </w:p>
    <w:p>
      <w:pPr>
        <w:pStyle w:val="ListParagraph"/>
        <w:numPr>
          <w:ilvl w:val="0"/>
          <w:numId w:val="2"/>
        </w:numPr>
        <w:spacing w:after="80"/>
      </w:pPr>
      <w:r>
        <w:rPr>
          <w:sz w:val="22"/>
          <w:szCs w:val="22"/>
        </w:rPr>
        <w:t xml:space="preserve">Partner physician (AsherMed) — sole clinical decision-maker. Evaluates the patient, screens contraindications, and approves, modifies, or declines treatment at their independent clinical discretion.</w:t>
      </w:r>
    </w:p>
    <w:p>
      <w:pPr>
        <w:pStyle w:val="ListParagraph"/>
        <w:numPr>
          <w:ilvl w:val="0"/>
          <w:numId w:val="2"/>
        </w:numPr>
        <w:spacing w:after="80"/>
      </w:pPr>
      <w:r>
        <w:rPr>
          <w:sz w:val="22"/>
          <w:szCs w:val="22"/>
        </w:rPr>
        <w:t xml:space="preserve">503A compounding pharmacy — AsherMed's dispensing relationship. Receives the prescription directly from the physician, compounds to the prescription, and ships to the patient. The pharmacy must be licensed for the patient's state of residence.</w:t>
      </w:r>
    </w:p>
    <w:p>
      <w:pPr>
        <w:pStyle w:val="ListParagraph"/>
        <w:numPr>
          <w:ilvl w:val="0"/>
          <w:numId w:val="2"/>
        </w:numPr>
        <w:spacing w:after="80"/>
      </w:pPr>
      <w:r>
        <w:rPr>
          <w:sz w:val="22"/>
          <w:szCs w:val="22"/>
        </w:rPr>
        <w:t xml:space="preserve">Velacore Compliance/Operations — administrative coordination only: order confirmation (business approval), payment processing, status tracking, and customer notifications. No access to alter clinical content; no dispensing, storage, or handling of medication.</w:t>
      </w:r>
    </w:p>
    <w:p>
      <w:pPr>
        <w:pStyle w:val="Heading1"/>
        <w:spacing w:after="120" w:before="280"/>
      </w:pPr>
      <w:r>
        <w:rPr>
          <w:b/>
          <w:bCs/>
          <w:color w:val="1F2937"/>
          <w:sz w:val="26"/>
          <w:szCs w:val="26"/>
        </w:rPr>
        <w:t xml:space="preserve">4. Prescription Workflow</w:t>
      </w:r>
    </w:p>
    <w:p>
      <w:pPr>
        <w:spacing w:after="120"/>
      </w:pPr>
      <w:r>
        <w:rPr>
          <w:b/>
          <w:bCs/>
          <w:sz w:val="22"/>
          <w:szCs w:val="22"/>
        </w:rPr>
        <w:t xml:space="preserve">Step 1 — Clinical decision. </w:t>
      </w:r>
      <w:r>
        <w:rPr>
          <w:sz w:val="22"/>
          <w:szCs w:val="22"/>
        </w:rPr>
        <w:t xml:space="preserve">The partner physician completes the clinical review inside the AsherMed system (per SOP-02) and documents approval, a request for more information, or a denial.</w:t>
      </w:r>
    </w:p>
    <w:p>
      <w:pPr>
        <w:spacing w:after="120"/>
      </w:pPr>
      <w:r>
        <w:rPr>
          <w:b/>
          <w:bCs/>
          <w:sz w:val="22"/>
          <w:szCs w:val="22"/>
        </w:rPr>
        <w:t xml:space="preserve">Step 2 — Business approval checkpoint. </w:t>
      </w:r>
      <w:r>
        <w:rPr>
          <w:sz w:val="22"/>
          <w:szCs w:val="22"/>
        </w:rPr>
        <w:t xml:space="preserve">Velacore Operations performs a non-clinical order confirmation: program/payment confirmed, U.S. residency confirmed (services are available in all 50 states per AsherMed's written licensure confirmation), and shipping details validated. This step cannot override, alter, or substitute for the physician's clinical judgment.</w:t>
      </w:r>
    </w:p>
    <w:p>
      <w:pPr>
        <w:spacing w:after="120"/>
      </w:pPr>
      <w:r>
        <w:rPr>
          <w:b/>
          <w:bCs/>
          <w:sz w:val="22"/>
          <w:szCs w:val="22"/>
        </w:rPr>
        <w:t xml:space="preserve">Step 3 — Routing to pharmacy. </w:t>
      </w:r>
      <w:r>
        <w:rPr>
          <w:sz w:val="22"/>
          <w:szCs w:val="22"/>
        </w:rPr>
        <w:t xml:space="preserve">On approval, AsherMed transmits the prescription directly to the 503A compounding pharmacy over encrypted channels. Velacore does not receive or relay the prescription itself.</w:t>
      </w:r>
    </w:p>
    <w:p>
      <w:pPr>
        <w:spacing w:after="120"/>
      </w:pPr>
      <w:r>
        <w:rPr>
          <w:b/>
          <w:bCs/>
          <w:sz w:val="22"/>
          <w:szCs w:val="22"/>
        </w:rPr>
        <w:t xml:space="preserve">Step 4 — Compounding &amp; fulfillment. </w:t>
      </w:r>
      <w:r>
        <w:rPr>
          <w:sz w:val="22"/>
          <w:szCs w:val="22"/>
        </w:rPr>
        <w:t xml:space="preserve">The pharmacy compounds to the physician's prescription under applicable USP standards, performs its quality checks, and ships directly to the patient. Shipping is included in the program cost; Velacore absorbs the shipping fee and the balance of the provider fee above the patient's one-time $20 physician fee.</w:t>
      </w:r>
    </w:p>
    <w:p>
      <w:pPr>
        <w:spacing w:after="120"/>
      </w:pPr>
      <w:r>
        <w:rPr>
          <w:b/>
          <w:bCs/>
          <w:sz w:val="22"/>
          <w:szCs w:val="22"/>
        </w:rPr>
        <w:t xml:space="preserve">Step 5 — Tracking &amp; notification. </w:t>
      </w:r>
      <w:r>
        <w:rPr>
          <w:sz w:val="22"/>
          <w:szCs w:val="22"/>
        </w:rPr>
        <w:t xml:space="preserve">Velacore monitors fulfillment status and notifies the patient of shipment and expected delivery through secure channels. Delivery exceptions are handled by Operations with the pharmacy.</w:t>
      </w:r>
    </w:p>
    <w:p>
      <w:pPr>
        <w:spacing w:after="120"/>
      </w:pPr>
      <w:r>
        <w:rPr>
          <w:b/>
          <w:bCs/>
          <w:sz w:val="22"/>
          <w:szCs w:val="22"/>
        </w:rPr>
        <w:t xml:space="preserve">Step 6 — Denials. </w:t>
      </w:r>
      <w:r>
        <w:rPr>
          <w:sz w:val="22"/>
          <w:szCs w:val="22"/>
        </w:rPr>
        <w:t xml:space="preserve">If the physician declines, the patient is notified promptly and the program payment is refunded in full within 15 days per the Refund Policy. The one-time $20 physician fee is non-refundable. Cross-reference SOP-04 for complaint or refund-dispute handling.</w:t>
      </w:r>
    </w:p>
    <w:p>
      <w:pPr>
        <w:spacing w:after="120"/>
      </w:pPr>
      <w:r>
        <w:rPr>
          <w:b/>
          <w:bCs/>
          <w:sz w:val="22"/>
          <w:szCs w:val="22"/>
        </w:rPr>
        <w:t xml:space="preserve">Step 7 — Refills / reorders. </w:t>
      </w:r>
      <w:r>
        <w:rPr>
          <w:sz w:val="22"/>
          <w:szCs w:val="22"/>
        </w:rPr>
        <w:t xml:space="preserve">Reorders require current physician authorization. Where a protocol requires periodic re-evaluation (or state law requires it), the patient completes an updated review before the next fulfillment. No automatic refill proceeds without an active, valid prescription.</w:t>
      </w:r>
    </w:p>
    <w:p>
      <w:pPr>
        <w:pStyle w:val="Heading1"/>
        <w:spacing w:after="120" w:before="280"/>
      </w:pPr>
      <w:r>
        <w:rPr>
          <w:b/>
          <w:bCs/>
          <w:color w:val="1F2937"/>
          <w:sz w:val="26"/>
          <w:szCs w:val="26"/>
        </w:rPr>
        <w:t xml:space="preserve">5. Controls</w:t>
      </w:r>
    </w:p>
    <w:p>
      <w:pPr>
        <w:pStyle w:val="ListParagraph"/>
        <w:numPr>
          <w:ilvl w:val="0"/>
          <w:numId w:val="2"/>
        </w:numPr>
        <w:spacing w:after="80"/>
      </w:pPr>
      <w:r>
        <w:rPr>
          <w:sz w:val="22"/>
          <w:szCs w:val="22"/>
        </w:rPr>
        <w:t xml:space="preserve">No prescription may be initiated, altered, or redirected by Velacore personnel under any circumstances.</w:t>
      </w:r>
    </w:p>
    <w:p>
      <w:pPr>
        <w:pStyle w:val="ListParagraph"/>
        <w:numPr>
          <w:ilvl w:val="0"/>
          <w:numId w:val="2"/>
        </w:numPr>
        <w:spacing w:after="80"/>
      </w:pPr>
      <w:r>
        <w:rPr>
          <w:sz w:val="22"/>
          <w:szCs w:val="22"/>
        </w:rPr>
        <w:t xml:space="preserve">State gate: services are available in all 50 US states per AsherMed's written confirmation of nationwide physician licensure. No order proceeds unless the prescription was issued by a physician licensed for the patient's state and the dispensing pharmacy is licensed to ship to that state.</w:t>
      </w:r>
    </w:p>
    <w:p>
      <w:pPr>
        <w:pStyle w:val="ListParagraph"/>
        <w:numPr>
          <w:ilvl w:val="0"/>
          <w:numId w:val="2"/>
        </w:numPr>
        <w:spacing w:after="80"/>
      </w:pPr>
      <w:r>
        <w:rPr>
          <w:sz w:val="22"/>
          <w:szCs w:val="22"/>
        </w:rPr>
        <w:t xml:space="preserve">Prescription and clinical records remain in the AsherMed system of record; Velacore retains only administrative order data (per SOP-01 retention rules).</w:t>
      </w:r>
    </w:p>
    <w:p>
      <w:pPr>
        <w:pStyle w:val="ListParagraph"/>
        <w:numPr>
          <w:ilvl w:val="0"/>
          <w:numId w:val="2"/>
        </w:numPr>
        <w:spacing w:after="80"/>
      </w:pPr>
      <w:r>
        <w:rPr>
          <w:sz w:val="22"/>
          <w:szCs w:val="22"/>
        </w:rPr>
        <w:t xml:space="preserve">Medications are non-returnable and non-refundable once dispensed, as required by federal and state pharmacy law.</w:t>
      </w:r>
    </w:p>
    <w:p>
      <w:pPr>
        <w:pStyle w:val="ListParagraph"/>
        <w:numPr>
          <w:ilvl w:val="0"/>
          <w:numId w:val="2"/>
        </w:numPr>
        <w:spacing w:after="80"/>
      </w:pPr>
      <w:r>
        <w:rPr>
          <w:sz w:val="22"/>
          <w:szCs w:val="22"/>
        </w:rPr>
        <w:t xml:space="preserve">Any suspected diversion, forgery, tampering, or lost/stolen shipment containing medication is escalated to Compliance/Operations and AsherMed the same business day and documented.</w:t>
      </w:r>
    </w:p>
    <w:p>
      <w:pPr>
        <w:pStyle w:val="Heading1"/>
        <w:spacing w:after="120" w:before="280"/>
      </w:pPr>
      <w:r>
        <w:rPr>
          <w:b/>
          <w:bCs/>
          <w:color w:val="1F2937"/>
          <w:sz w:val="26"/>
          <w:szCs w:val="26"/>
        </w:rPr>
        <w:t xml:space="preserve">6. Recordkeeping</w:t>
      </w:r>
    </w:p>
    <w:p>
      <w:pPr>
        <w:spacing w:after="120"/>
      </w:pPr>
      <w:r>
        <w:rPr>
          <w:sz w:val="22"/>
          <w:szCs w:val="22"/>
        </w:rPr>
        <w:t xml:space="preserve">Velacore retains administrative order records (order confirmations, payment records, shipment tracking, notifications, denial/refund records) per SOP-01. Clinical records and the prescription itself are retained by AsherMed and the pharmacy as the licensed providers.</w:t>
      </w:r>
    </w:p>
    <w:p>
      <w:pPr>
        <w:pStyle w:val="Heading1"/>
        <w:spacing w:after="120" w:before="280"/>
      </w:pPr>
      <w:r>
        <w:rPr>
          <w:b/>
          <w:bCs/>
          <w:color w:val="1F2937"/>
          <w:sz w:val="26"/>
          <w:szCs w:val="26"/>
        </w:rPr>
        <w:t xml:space="preserve">7. Review</w:t>
      </w:r>
    </w:p>
    <w:p>
      <w:pPr>
        <w:spacing w:after="120"/>
      </w:pPr>
      <w:r>
        <w:rPr>
          <w:sz w:val="22"/>
          <w:szCs w:val="22"/>
        </w:rPr>
        <w:t xml:space="preserve">This policy is reviewed at least annually and whenever the physician network, pharmacy routing, or applicable pharmacy/telehealth law changes.</w:t>
      </w:r>
    </w:p>
    <w:p>
      <w:pPr>
        <w:spacing w:after="120" w:before="400"/>
      </w:pPr>
      <w:r>
        <w:rPr>
          <w:sz w:val="22"/>
          <w:szCs w:val="22"/>
        </w:rPr>
        <w:t xml:space="preserve">Approved by (AsherMed Clinical Authority): _______________________________   Date: ____________</w:t>
      </w:r>
    </w:p>
    <w:p>
      <w:pPr>
        <w:spacing w:after="120"/>
      </w:pPr>
      <w:r>
        <w:rPr>
          <w:sz w:val="22"/>
          <w:szCs w:val="22"/>
        </w:rPr>
        <w:t xml:space="preserve">Approved by (Compliance/Operations): _______________________________   Date: 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2026-07-23T04:27:12.900Z</dcterms:created>
  <dcterms:modified xsi:type="dcterms:W3CDTF">2026-07-23T04:27:12.910Z</dcterms:modified>
</cp:coreProperties>
</file>

<file path=docProps/custom.xml><?xml version="1.0" encoding="utf-8"?>
<Properties xmlns="http://schemas.openxmlformats.org/officeDocument/2006/custom-properties" xmlns:vt="http://schemas.openxmlformats.org/officeDocument/2006/docPropsVTypes"/>
</file>