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DEA7B9" w14:textId="77777777" w:rsidR="00034228" w:rsidRDefault="00000000">
      <w:pPr>
        <w:spacing w:after="40"/>
      </w:pPr>
      <w:r>
        <w:rPr>
          <w:b/>
          <w:bCs/>
          <w:color w:val="1F3A5F"/>
          <w:spacing w:val="40"/>
          <w:sz w:val="24"/>
          <w:szCs w:val="24"/>
        </w:rPr>
        <w:t>VELACORE HEALTH</w:t>
      </w:r>
    </w:p>
    <w:p w14:paraId="3AD51F7A" w14:textId="77777777" w:rsidR="00034228" w:rsidRDefault="00000000">
      <w:pPr>
        <w:spacing w:after="60"/>
      </w:pPr>
      <w:r>
        <w:rPr>
          <w:i/>
          <w:iCs/>
          <w:color w:val="666666"/>
        </w:rPr>
        <w:t>Standard Operating Procedure</w:t>
      </w:r>
    </w:p>
    <w:p w14:paraId="1D2558CC" w14:textId="77777777" w:rsidR="00034228" w:rsidRDefault="00034228">
      <w:pPr>
        <w:pBdr>
          <w:bottom w:val="single" w:sz="6" w:space="1" w:color="2E6E8E"/>
        </w:pBdr>
        <w:spacing w:after="120"/>
      </w:pPr>
    </w:p>
    <w:p w14:paraId="3CCC5CE8" w14:textId="77777777" w:rsidR="00034228" w:rsidRDefault="00000000">
      <w:pPr>
        <w:spacing w:before="120" w:after="40"/>
      </w:pPr>
      <w:r>
        <w:rPr>
          <w:b/>
          <w:bCs/>
          <w:color w:val="2E6E8E"/>
          <w:sz w:val="22"/>
          <w:szCs w:val="22"/>
        </w:rPr>
        <w:t>SOP-01</w:t>
      </w:r>
    </w:p>
    <w:p w14:paraId="0714FF1C" w14:textId="77777777" w:rsidR="00034228" w:rsidRDefault="00000000">
      <w:pPr>
        <w:spacing w:after="200"/>
      </w:pPr>
      <w:r>
        <w:rPr>
          <w:b/>
          <w:bCs/>
          <w:color w:val="1F3A5F"/>
          <w:sz w:val="36"/>
          <w:szCs w:val="36"/>
        </w:rPr>
        <w:t>HIPAA Compliance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D6A2A" w14:paraId="50399866"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4B8B8BF2" w14:textId="69073A29" w:rsidR="002D6A2A" w:rsidRDefault="002D6A2A" w:rsidP="002D6A2A">
            <w:r>
              <w:rPr>
                <w:b/>
                <w:bCs/>
                <w:color w:val="000000"/>
              </w:rPr>
              <w:t>Document Owner</w:t>
            </w:r>
          </w:p>
        </w:tc>
        <w:tc>
          <w:tcPr>
            <w:tcW w:w="6760" w:type="dxa"/>
            <w:shd w:val="clear" w:color="auto" w:fill="FFFFFF"/>
            <w:tcMar>
              <w:top w:w="60" w:type="dxa"/>
              <w:left w:w="100" w:type="dxa"/>
              <w:bottom w:w="60" w:type="dxa"/>
              <w:right w:w="100" w:type="dxa"/>
            </w:tcMar>
          </w:tcPr>
          <w:p w14:paraId="43849449" w14:textId="569ABE73" w:rsidR="002D6A2A" w:rsidRDefault="002D6A2A" w:rsidP="002D6A2A">
            <w:r>
              <w:rPr>
                <w:color w:val="000000"/>
              </w:rPr>
              <w:t>[Jonathan Douglass - Compliance &amp; Operations]</w:t>
            </w:r>
          </w:p>
        </w:tc>
      </w:tr>
      <w:tr w:rsidR="002D6A2A" w14:paraId="3E4ADE91"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4C985FC3" w14:textId="6C85079A" w:rsidR="002D6A2A" w:rsidRDefault="002D6A2A" w:rsidP="002D6A2A">
            <w:r>
              <w:rPr>
                <w:b/>
                <w:bCs/>
                <w:color w:val="000000"/>
              </w:rPr>
              <w:t>Clinical Authority</w:t>
            </w:r>
          </w:p>
        </w:tc>
        <w:tc>
          <w:tcPr>
            <w:tcW w:w="6760" w:type="dxa"/>
            <w:shd w:val="clear" w:color="auto" w:fill="FFFFFF"/>
            <w:tcMar>
              <w:top w:w="60" w:type="dxa"/>
              <w:left w:w="100" w:type="dxa"/>
              <w:bottom w:w="60" w:type="dxa"/>
              <w:right w:w="100" w:type="dxa"/>
            </w:tcMar>
          </w:tcPr>
          <w:p w14:paraId="0C9EAC76" w14:textId="738FDFE6" w:rsidR="002D6A2A" w:rsidRDefault="002D6A2A" w:rsidP="002D6A2A">
            <w:r>
              <w:rPr>
                <w:color w:val="000000"/>
              </w:rPr>
              <w:t xml:space="preserve">[Asher Medical - </w:t>
            </w:r>
            <w:r w:rsidRPr="00C55249">
              <w:rPr>
                <w:color w:val="000000"/>
              </w:rPr>
              <w:t>Dr. Crystal Broussard MD</w:t>
            </w:r>
            <w:r>
              <w:rPr>
                <w:color w:val="000000"/>
              </w:rPr>
              <w:t>]</w:t>
            </w:r>
          </w:p>
        </w:tc>
      </w:tr>
      <w:tr w:rsidR="002D6A2A" w14:paraId="77C543ED"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59494740" w14:textId="573609A4" w:rsidR="002D6A2A" w:rsidRDefault="002D6A2A" w:rsidP="002D6A2A">
            <w:r>
              <w:rPr>
                <w:b/>
                <w:bCs/>
                <w:color w:val="000000"/>
              </w:rPr>
              <w:t>Effective Date</w:t>
            </w:r>
          </w:p>
        </w:tc>
        <w:tc>
          <w:tcPr>
            <w:tcW w:w="6760" w:type="dxa"/>
            <w:shd w:val="clear" w:color="auto" w:fill="FFFFFF"/>
            <w:tcMar>
              <w:top w:w="60" w:type="dxa"/>
              <w:left w:w="100" w:type="dxa"/>
              <w:bottom w:w="60" w:type="dxa"/>
              <w:right w:w="100" w:type="dxa"/>
            </w:tcMar>
          </w:tcPr>
          <w:p w14:paraId="6B3F55A3" w14:textId="1AF5848C" w:rsidR="002D6A2A" w:rsidRDefault="002D6A2A" w:rsidP="002D6A2A">
            <w:r>
              <w:rPr>
                <w:color w:val="000000"/>
              </w:rPr>
              <w:t>[04/01/2026]</w:t>
            </w:r>
          </w:p>
        </w:tc>
      </w:tr>
      <w:tr w:rsidR="002D6A2A" w14:paraId="1909C911"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5CBC2B9" w14:textId="5F514FB0" w:rsidR="002D6A2A" w:rsidRDefault="002D6A2A" w:rsidP="002D6A2A">
            <w:r>
              <w:rPr>
                <w:b/>
                <w:bCs/>
                <w:color w:val="000000"/>
              </w:rPr>
              <w:t>Version</w:t>
            </w:r>
          </w:p>
        </w:tc>
        <w:tc>
          <w:tcPr>
            <w:tcW w:w="6760" w:type="dxa"/>
            <w:shd w:val="clear" w:color="auto" w:fill="FFFFFF"/>
            <w:tcMar>
              <w:top w:w="60" w:type="dxa"/>
              <w:left w:w="100" w:type="dxa"/>
              <w:bottom w:w="60" w:type="dxa"/>
              <w:right w:w="100" w:type="dxa"/>
            </w:tcMar>
          </w:tcPr>
          <w:p w14:paraId="54FA1523" w14:textId="1DADB611" w:rsidR="002D6A2A" w:rsidRDefault="002D6A2A" w:rsidP="002D6A2A">
            <w:r>
              <w:rPr>
                <w:color w:val="000000"/>
              </w:rPr>
              <w:t>1.0</w:t>
            </w:r>
          </w:p>
        </w:tc>
      </w:tr>
      <w:tr w:rsidR="002D6A2A" w14:paraId="2F13A559"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773537D" w14:textId="0AD9D530" w:rsidR="002D6A2A" w:rsidRDefault="002D6A2A" w:rsidP="002D6A2A">
            <w:r>
              <w:rPr>
                <w:b/>
                <w:bCs/>
                <w:color w:val="000000"/>
              </w:rPr>
              <w:t>Review Cycle</w:t>
            </w:r>
          </w:p>
        </w:tc>
        <w:tc>
          <w:tcPr>
            <w:tcW w:w="6760" w:type="dxa"/>
            <w:shd w:val="clear" w:color="auto" w:fill="FFFFFF"/>
            <w:tcMar>
              <w:top w:w="60" w:type="dxa"/>
              <w:left w:w="100" w:type="dxa"/>
              <w:bottom w:w="60" w:type="dxa"/>
              <w:right w:w="100" w:type="dxa"/>
            </w:tcMar>
          </w:tcPr>
          <w:p w14:paraId="0E56B2BD" w14:textId="26E9FAEC" w:rsidR="002D6A2A" w:rsidRDefault="002D6A2A" w:rsidP="002D6A2A">
            <w:r>
              <w:rPr>
                <w:color w:val="000000"/>
              </w:rPr>
              <w:t>Annual, or upon material change to vendors, law, or workflow</w:t>
            </w:r>
          </w:p>
        </w:tc>
      </w:tr>
      <w:tr w:rsidR="002D6A2A" w14:paraId="1916E717"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FBB1303" w14:textId="751DDDD0" w:rsidR="002D6A2A" w:rsidRDefault="002D6A2A" w:rsidP="002D6A2A">
            <w:r>
              <w:rPr>
                <w:b/>
                <w:bCs/>
                <w:color w:val="000000"/>
              </w:rPr>
              <w:t>Last Reviewed</w:t>
            </w:r>
          </w:p>
        </w:tc>
        <w:tc>
          <w:tcPr>
            <w:tcW w:w="6760" w:type="dxa"/>
            <w:shd w:val="clear" w:color="auto" w:fill="FFFFFF"/>
            <w:tcMar>
              <w:top w:w="60" w:type="dxa"/>
              <w:left w:w="100" w:type="dxa"/>
              <w:bottom w:w="60" w:type="dxa"/>
              <w:right w:w="100" w:type="dxa"/>
            </w:tcMar>
          </w:tcPr>
          <w:p w14:paraId="66D51F19" w14:textId="6AE5E3F3" w:rsidR="002D6A2A" w:rsidRDefault="002D6A2A" w:rsidP="002D6A2A">
            <w:r>
              <w:rPr>
                <w:color w:val="000000"/>
              </w:rPr>
              <w:t>[07/20/2026]</w:t>
            </w:r>
          </w:p>
        </w:tc>
      </w:tr>
    </w:tbl>
    <w:p w14:paraId="1EAC0B24" w14:textId="77777777" w:rsidR="00034228" w:rsidRDefault="00000000">
      <w:pPr>
        <w:pStyle w:val="Heading1"/>
        <w:spacing w:before="320" w:after="140"/>
      </w:pPr>
      <w:r>
        <w:rPr>
          <w:b/>
          <w:bCs/>
          <w:color w:val="1F3A5F"/>
          <w:sz w:val="28"/>
          <w:szCs w:val="28"/>
        </w:rPr>
        <w:t>1. Purpose</w:t>
      </w:r>
    </w:p>
    <w:p w14:paraId="493416E1" w14:textId="77777777" w:rsidR="00034228" w:rsidRDefault="00000000">
      <w:pPr>
        <w:spacing w:after="120" w:line="276" w:lineRule="auto"/>
      </w:pPr>
      <w:r>
        <w:rPr>
          <w:sz w:val="22"/>
          <w:szCs w:val="22"/>
        </w:rPr>
        <w:t>This policy establishes how Velacore Health (“Velacore,” “we”) collects, stores, transmits, accesses, and protects Protected Health Information (PHI) in accordance with the HIPAA Privacy Rule, Security Rule, and Breach Notification Rule (45 CFR Parts 160 and 164). Velacore operates as a business associate of AsherMed (the covered entity); this policy defines the safeguards, access controls, subcontractor obligations, and breach-response procedures Velacore maintains in that role, as required by its Business Associate Agreement with AsherMed and for LegitScript certification.</w:t>
      </w:r>
    </w:p>
    <w:p w14:paraId="6E5E956B" w14:textId="77777777" w:rsidR="00034228" w:rsidRDefault="00000000">
      <w:pPr>
        <w:pStyle w:val="Heading1"/>
        <w:spacing w:before="320" w:after="140"/>
      </w:pPr>
      <w:r>
        <w:rPr>
          <w:b/>
          <w:bCs/>
          <w:color w:val="1F3A5F"/>
          <w:sz w:val="28"/>
          <w:szCs w:val="28"/>
        </w:rPr>
        <w:t>2. Scope</w:t>
      </w:r>
    </w:p>
    <w:p w14:paraId="3D97285A" w14:textId="77777777" w:rsidR="00034228" w:rsidRDefault="00000000">
      <w:pPr>
        <w:spacing w:after="120" w:line="276" w:lineRule="auto"/>
      </w:pPr>
      <w:r>
        <w:rPr>
          <w:sz w:val="22"/>
          <w:szCs w:val="22"/>
        </w:rPr>
        <w:t>This policy applies to all Velacore personnel, contractors, business partners (including Bryan Dourado), and every downstream subcontractor or system that creates, receives, maintains, or transmits PHI on Velacore’s behalf in its role as AsherMed’s business associate. Covered systems currently include, at minimum: JotForm (intake), Tidio (customer chat/support), the email platform, and Airtable (coordination records). It also governs Velacore’s transmission of intake PHI to AsherMed. Clinical evaluation, prescribing, and pharmacy dispensing are performed by AsherMed and its pharmacy and are outside Velacore’s systems.</w:t>
      </w:r>
    </w:p>
    <w:p w14:paraId="6AF3CF8C" w14:textId="77777777" w:rsidR="00034228" w:rsidRDefault="00000000">
      <w:pPr>
        <w:pStyle w:val="Heading1"/>
        <w:spacing w:before="320" w:after="140"/>
      </w:pPr>
      <w:r>
        <w:rPr>
          <w:b/>
          <w:bCs/>
          <w:color w:val="1F3A5F"/>
          <w:sz w:val="28"/>
          <w:szCs w:val="28"/>
        </w:rPr>
        <w:t>3. Regulatory Framework &amp; Covered-Entity Status</w:t>
      </w:r>
    </w:p>
    <w:p w14:paraId="266E194F" w14:textId="77777777" w:rsidR="00034228" w:rsidRDefault="00000000">
      <w:pPr>
        <w:pStyle w:val="ListParagraph"/>
        <w:numPr>
          <w:ilvl w:val="0"/>
          <w:numId w:val="2"/>
        </w:numPr>
        <w:spacing w:after="60" w:line="264" w:lineRule="auto"/>
      </w:pPr>
      <w:r>
        <w:rPr>
          <w:sz w:val="22"/>
          <w:szCs w:val="22"/>
        </w:rPr>
        <w:t>HIPAA Privacy Rule (45 CFR 164.500–534) — governs use and disclosure of PHI.</w:t>
      </w:r>
    </w:p>
    <w:p w14:paraId="68CDB175" w14:textId="77777777" w:rsidR="00034228" w:rsidRDefault="00000000">
      <w:pPr>
        <w:pStyle w:val="ListParagraph"/>
        <w:numPr>
          <w:ilvl w:val="0"/>
          <w:numId w:val="2"/>
        </w:numPr>
        <w:spacing w:after="60" w:line="264" w:lineRule="auto"/>
      </w:pPr>
      <w:r>
        <w:rPr>
          <w:sz w:val="22"/>
          <w:szCs w:val="22"/>
        </w:rPr>
        <w:t>HIPAA Security Rule (45 CFR 164.302–318) — governs administrative, physical, and technical safeguards for electronic PHI (ePHI).</w:t>
      </w:r>
    </w:p>
    <w:p w14:paraId="361DB377" w14:textId="77777777" w:rsidR="00034228" w:rsidRDefault="00000000">
      <w:pPr>
        <w:pStyle w:val="ListParagraph"/>
        <w:numPr>
          <w:ilvl w:val="0"/>
          <w:numId w:val="2"/>
        </w:numPr>
        <w:spacing w:after="60" w:line="264" w:lineRule="auto"/>
      </w:pPr>
      <w:r>
        <w:rPr>
          <w:sz w:val="22"/>
          <w:szCs w:val="22"/>
        </w:rPr>
        <w:t>HIPAA Breach Notification Rule (45 CFR 164.400–414) — governs response to unauthorized acquisition, access, use, or disclosure of PHI.</w:t>
      </w:r>
    </w:p>
    <w:p w14:paraId="2C7AAD87" w14:textId="77777777" w:rsidR="00034228" w:rsidRDefault="00000000">
      <w:pPr>
        <w:spacing w:after="120" w:line="276" w:lineRule="auto"/>
      </w:pPr>
      <w:r>
        <w:rPr>
          <w:sz w:val="22"/>
          <w:szCs w:val="22"/>
        </w:rPr>
        <w:t xml:space="preserve">Velacore operates as a HIPAA business associate (45 CFR 160.103): it creates, receives, maintains, and transmits PHI on behalf of AsherMed, the covered entity (the telehealth provider whose physicians </w:t>
      </w:r>
      <w:r>
        <w:rPr>
          <w:sz w:val="22"/>
          <w:szCs w:val="22"/>
        </w:rPr>
        <w:lastRenderedPageBreak/>
        <w:t>evaluate patients and prescribe). Velacore does not provide patient care and is not itself a covered entity. Velacore’s obligations arise from its Business Associate Agreement (BAA) with AsherMed. Every downstream vendor Velacore uses to handle PHI (see Section 8) is a subcontractor and must operate under a BAA between Velacore and that vendor, flowing down the same obligations (45 CFR 164.502(e)(1)(ii)). [Confirm the executed BAA with AsherMed is on file and that its terms match this policy.]</w:t>
      </w:r>
    </w:p>
    <w:p w14:paraId="795FF0F3" w14:textId="77777777" w:rsidR="00034228" w:rsidRDefault="00000000">
      <w:pPr>
        <w:pStyle w:val="Heading1"/>
        <w:spacing w:before="320" w:after="140"/>
      </w:pPr>
      <w:r>
        <w:rPr>
          <w:b/>
          <w:bCs/>
          <w:color w:val="1F3A5F"/>
          <w:sz w:val="28"/>
          <w:szCs w:val="28"/>
        </w:rPr>
        <w:t>4. Data Lifecycle: How PHI Is Handled</w:t>
      </w:r>
    </w:p>
    <w:p w14:paraId="70ABA378" w14:textId="77777777" w:rsidR="00034228" w:rsidRDefault="00000000">
      <w:pPr>
        <w:pStyle w:val="Heading2"/>
        <w:spacing w:before="220" w:after="100"/>
      </w:pPr>
      <w:r>
        <w:rPr>
          <w:b/>
          <w:bCs/>
          <w:color w:val="2E6E8E"/>
          <w:sz w:val="24"/>
          <w:szCs w:val="24"/>
        </w:rPr>
        <w:t>4.1 Collection</w:t>
      </w:r>
    </w:p>
    <w:p w14:paraId="03AB22EA" w14:textId="77777777" w:rsidR="00034228" w:rsidRDefault="00000000">
      <w:pPr>
        <w:pStyle w:val="ListParagraph"/>
        <w:numPr>
          <w:ilvl w:val="0"/>
          <w:numId w:val="2"/>
        </w:numPr>
        <w:spacing w:after="60" w:line="264" w:lineRule="auto"/>
      </w:pPr>
      <w:r>
        <w:rPr>
          <w:sz w:val="22"/>
          <w:szCs w:val="22"/>
        </w:rPr>
        <w:t>PHI is collected only through approved, encrypted channels — primarily the HIPAA-configured JotForm intake and secure messaging via Tidio.</w:t>
      </w:r>
    </w:p>
    <w:p w14:paraId="57672946" w14:textId="77777777" w:rsidR="00034228" w:rsidRDefault="00000000">
      <w:pPr>
        <w:pStyle w:val="ListParagraph"/>
        <w:numPr>
          <w:ilvl w:val="0"/>
          <w:numId w:val="2"/>
        </w:numPr>
        <w:spacing w:after="60" w:line="264" w:lineRule="auto"/>
      </w:pPr>
      <w:r>
        <w:rPr>
          <w:sz w:val="22"/>
          <w:szCs w:val="22"/>
        </w:rPr>
        <w:t>Collection is limited to the minimum necessary to provide the requested telehealth service (minimum-necessary standard, 45 CFR 164.502(b)).</w:t>
      </w:r>
    </w:p>
    <w:p w14:paraId="2BA73A19" w14:textId="0C3443B7" w:rsidR="00034228" w:rsidRDefault="00000000">
      <w:pPr>
        <w:pStyle w:val="ListParagraph"/>
        <w:numPr>
          <w:ilvl w:val="0"/>
          <w:numId w:val="2"/>
        </w:numPr>
        <w:spacing w:after="60" w:line="264" w:lineRule="auto"/>
      </w:pPr>
      <w:r>
        <w:rPr>
          <w:sz w:val="22"/>
          <w:szCs w:val="22"/>
        </w:rPr>
        <w:t>Patients receive a Notice of Privacy Practices (NPP)</w:t>
      </w:r>
      <w:r w:rsidR="002D6A2A">
        <w:rPr>
          <w:sz w:val="22"/>
          <w:szCs w:val="22"/>
        </w:rPr>
        <w:t xml:space="preserve"> from AsherMed</w:t>
      </w:r>
      <w:r>
        <w:rPr>
          <w:sz w:val="22"/>
          <w:szCs w:val="22"/>
        </w:rPr>
        <w:t xml:space="preserve"> and provide documented consent/authorization before or at the point of intake.</w:t>
      </w:r>
    </w:p>
    <w:p w14:paraId="496C987D" w14:textId="77777777" w:rsidR="00034228" w:rsidRDefault="00000000">
      <w:pPr>
        <w:pStyle w:val="Heading2"/>
        <w:spacing w:before="220" w:after="100"/>
      </w:pPr>
      <w:r>
        <w:rPr>
          <w:b/>
          <w:bCs/>
          <w:color w:val="2E6E8E"/>
          <w:sz w:val="24"/>
          <w:szCs w:val="24"/>
        </w:rPr>
        <w:t>4.2 Storage</w:t>
      </w:r>
    </w:p>
    <w:p w14:paraId="6622D138" w14:textId="77777777" w:rsidR="00034228" w:rsidRDefault="00000000">
      <w:pPr>
        <w:pStyle w:val="ListParagraph"/>
        <w:numPr>
          <w:ilvl w:val="0"/>
          <w:numId w:val="2"/>
        </w:numPr>
        <w:spacing w:after="60" w:line="264" w:lineRule="auto"/>
      </w:pPr>
      <w:r>
        <w:rPr>
          <w:sz w:val="22"/>
          <w:szCs w:val="22"/>
        </w:rPr>
        <w:t>ePHI is stored only in systems covered by an executed BAA and configured for HIPAA compliance.</w:t>
      </w:r>
    </w:p>
    <w:p w14:paraId="60C13B11" w14:textId="77777777" w:rsidR="00034228" w:rsidRDefault="00000000">
      <w:pPr>
        <w:pStyle w:val="ListParagraph"/>
        <w:numPr>
          <w:ilvl w:val="0"/>
          <w:numId w:val="2"/>
        </w:numPr>
        <w:spacing w:after="60" w:line="264" w:lineRule="auto"/>
      </w:pPr>
      <w:r>
        <w:rPr>
          <w:sz w:val="22"/>
          <w:szCs w:val="22"/>
        </w:rPr>
        <w:t>Data at rest is encrypted (AES-256 or equivalent). Backups are encrypted and access-controlled.</w:t>
      </w:r>
    </w:p>
    <w:p w14:paraId="7003E054" w14:textId="77777777" w:rsidR="00034228" w:rsidRDefault="00000000">
      <w:pPr>
        <w:pStyle w:val="ListParagraph"/>
        <w:numPr>
          <w:ilvl w:val="0"/>
          <w:numId w:val="2"/>
        </w:numPr>
        <w:spacing w:after="60" w:line="264" w:lineRule="auto"/>
      </w:pPr>
      <w:r>
        <w:rPr>
          <w:sz w:val="22"/>
          <w:szCs w:val="22"/>
        </w:rPr>
        <w:t>No PHI is stored on personal devices, unencrypted drives, or consumer cloud storage (e.g., personal Google Drive, Dropbox) outside covered systems.</w:t>
      </w:r>
    </w:p>
    <w:p w14:paraId="5FC1D898" w14:textId="77777777" w:rsidR="00034228" w:rsidRDefault="00000000">
      <w:pPr>
        <w:pStyle w:val="Heading2"/>
        <w:spacing w:before="220" w:after="100"/>
      </w:pPr>
      <w:r>
        <w:rPr>
          <w:b/>
          <w:bCs/>
          <w:color w:val="2E6E8E"/>
          <w:sz w:val="24"/>
          <w:szCs w:val="24"/>
        </w:rPr>
        <w:t>4.3 Transmission</w:t>
      </w:r>
    </w:p>
    <w:p w14:paraId="2A9F3695" w14:textId="77777777" w:rsidR="00034228" w:rsidRDefault="00000000">
      <w:pPr>
        <w:pStyle w:val="ListParagraph"/>
        <w:numPr>
          <w:ilvl w:val="0"/>
          <w:numId w:val="2"/>
        </w:numPr>
        <w:spacing w:after="60" w:line="264" w:lineRule="auto"/>
      </w:pPr>
      <w:r>
        <w:rPr>
          <w:sz w:val="22"/>
          <w:szCs w:val="22"/>
        </w:rPr>
        <w:t>All PHI in transit is encrypted using TLS 1.2+ / HTTPS.</w:t>
      </w:r>
    </w:p>
    <w:p w14:paraId="38FDB32B" w14:textId="77777777" w:rsidR="00034228" w:rsidRDefault="00000000">
      <w:pPr>
        <w:pStyle w:val="ListParagraph"/>
        <w:numPr>
          <w:ilvl w:val="0"/>
          <w:numId w:val="2"/>
        </w:numPr>
        <w:spacing w:after="60" w:line="264" w:lineRule="auto"/>
      </w:pPr>
      <w:r>
        <w:rPr>
          <w:sz w:val="22"/>
          <w:szCs w:val="22"/>
        </w:rPr>
        <w:t>PHI is never sent through unsecured SMS or standard (unencrypted) email. Where email carries PHI, it must be through a BAA-covered, encryption-enabled platform.</w:t>
      </w:r>
    </w:p>
    <w:p w14:paraId="74F826EF" w14:textId="6CBF929A" w:rsidR="002D6A2A" w:rsidRPr="002D6A2A" w:rsidRDefault="00000000" w:rsidP="002D6A2A">
      <w:pPr>
        <w:pStyle w:val="Heading2"/>
        <w:spacing w:before="220" w:after="100"/>
      </w:pPr>
      <w:r>
        <w:rPr>
          <w:b/>
          <w:bCs/>
          <w:color w:val="2E6E8E"/>
          <w:sz w:val="24"/>
          <w:szCs w:val="24"/>
        </w:rPr>
        <w:t>4.4 Retention &amp; Disposal</w:t>
      </w:r>
    </w:p>
    <w:p w14:paraId="6EFAA46B" w14:textId="77777777" w:rsidR="002D6A2A" w:rsidRPr="002D6A2A" w:rsidRDefault="002D6A2A" w:rsidP="002D6A2A">
      <w:pPr>
        <w:pStyle w:val="ListParagraph"/>
        <w:numPr>
          <w:ilvl w:val="0"/>
          <w:numId w:val="2"/>
        </w:numPr>
        <w:spacing w:after="60" w:line="264" w:lineRule="auto"/>
      </w:pPr>
      <w:r w:rsidRPr="002D6A2A">
        <w:rPr>
          <w:b/>
          <w:bCs/>
        </w:rPr>
        <w:t>HIPAA compliance documentation</w:t>
      </w:r>
      <w:r w:rsidRPr="002D6A2A">
        <w:t xml:space="preserve"> — Velacore retains its HIPAA-required documentation (policies, procedures, risk assessments, training records, breach records, this SOP and its revisions) for a minimum of </w:t>
      </w:r>
      <w:r w:rsidRPr="002D6A2A">
        <w:rPr>
          <w:b/>
          <w:bCs/>
        </w:rPr>
        <w:t>six years</w:t>
      </w:r>
      <w:r w:rsidRPr="002D6A2A">
        <w:t xml:space="preserve"> from the date of creation or the date last in effect, whichever is later (45 CFR 164.316(b)(2)).</w:t>
      </w:r>
    </w:p>
    <w:p w14:paraId="208297FB" w14:textId="77777777" w:rsidR="002D6A2A" w:rsidRPr="002D6A2A" w:rsidRDefault="002D6A2A" w:rsidP="002D6A2A">
      <w:pPr>
        <w:pStyle w:val="ListParagraph"/>
        <w:numPr>
          <w:ilvl w:val="0"/>
          <w:numId w:val="2"/>
        </w:numPr>
        <w:spacing w:after="60" w:line="264" w:lineRule="auto"/>
      </w:pPr>
      <w:r w:rsidRPr="002D6A2A">
        <w:rPr>
          <w:b/>
          <w:bCs/>
        </w:rPr>
        <w:t>PHI held as a business associate</w:t>
      </w:r>
      <w:r w:rsidRPr="002D6A2A">
        <w:t xml:space="preserve"> — Velacore retains intake and coordination PHI only as long as necessary to perform its coordination function and as specified in its Business Associate Agreement with AsherMed. On termination of that agreement, Velacore returns or destroys the PHI in accordance with the BAA (45 CFR 164.504(e)(2)(ii)(J)); where return or destruction is infeasible, protections continue for as long as the PHI is retained. </w:t>
      </w:r>
      <w:r w:rsidRPr="00376117">
        <w:rPr>
          <w:b/>
          <w:bCs/>
          <w:highlight w:val="yellow"/>
        </w:rPr>
        <w:t>[Confirm the specific retention/return/destruction terms in the AsherMed BAA and conform this section to them — the BAA governs.]</w:t>
      </w:r>
    </w:p>
    <w:p w14:paraId="4D0D3C71" w14:textId="77777777" w:rsidR="002D6A2A" w:rsidRPr="002D6A2A" w:rsidRDefault="002D6A2A" w:rsidP="002D6A2A">
      <w:pPr>
        <w:pStyle w:val="ListParagraph"/>
        <w:numPr>
          <w:ilvl w:val="0"/>
          <w:numId w:val="2"/>
        </w:numPr>
        <w:spacing w:after="60" w:line="264" w:lineRule="auto"/>
      </w:pPr>
      <w:r w:rsidRPr="002D6A2A">
        <w:rPr>
          <w:b/>
          <w:bCs/>
        </w:rPr>
        <w:t>Underlying medical records</w:t>
      </w:r>
      <w:r w:rsidRPr="002D6A2A">
        <w:t xml:space="preserve"> — The medical record itself (the physician's evaluation, prescribing decision, and dispensing record) is created and maintained by AsherMed and its pharmacy as the licensed providers. Those entities are responsible for retention under the medical-record laws of the state in which the provider is licensed and the patient is treated. Velacore does not serve as the system of record for the medical chart.</w:t>
      </w:r>
    </w:p>
    <w:p w14:paraId="0FD4A71A" w14:textId="77777777" w:rsidR="002D6A2A" w:rsidRPr="002D6A2A" w:rsidRDefault="002D6A2A" w:rsidP="002D6A2A">
      <w:pPr>
        <w:pStyle w:val="ListParagraph"/>
        <w:numPr>
          <w:ilvl w:val="0"/>
          <w:numId w:val="2"/>
        </w:numPr>
        <w:spacing w:after="60" w:line="264" w:lineRule="auto"/>
      </w:pPr>
      <w:r w:rsidRPr="002D6A2A">
        <w:rPr>
          <w:b/>
          <w:bCs/>
        </w:rPr>
        <w:lastRenderedPageBreak/>
        <w:t>Multistate note</w:t>
      </w:r>
      <w:r w:rsidRPr="002D6A2A">
        <w:t xml:space="preserve"> — Because customers are located across all 50 states, provider-side medical-record retention periods vary (commonly </w:t>
      </w:r>
      <w:r w:rsidRPr="002D6A2A">
        <w:rPr>
          <w:b/>
          <w:bCs/>
        </w:rPr>
        <w:t>6 to 10 years</w:t>
      </w:r>
      <w:r w:rsidRPr="002D6A2A">
        <w:t xml:space="preserve"> for adults, and for </w:t>
      </w:r>
      <w:r w:rsidRPr="002D6A2A">
        <w:rPr>
          <w:b/>
          <w:bCs/>
        </w:rPr>
        <w:t>minors</w:t>
      </w:r>
      <w:r w:rsidRPr="002D6A2A">
        <w:t xml:space="preserve"> typically until the patient reaches the age of majority </w:t>
      </w:r>
      <w:r w:rsidRPr="002D6A2A">
        <w:rPr>
          <w:i/>
          <w:iCs/>
        </w:rPr>
        <w:t>plus</w:t>
      </w:r>
      <w:r w:rsidRPr="002D6A2A">
        <w:t xml:space="preserve"> an additional period — often extending well beyond 10 years). Velacore relies on AsherMed to meet the applicable state retention requirement for each patient. Velacore's own retention baseline is the HIPAA six-year rule above; where Velacore's BAA or a specific state requires longer, the </w:t>
      </w:r>
      <w:r w:rsidRPr="002D6A2A">
        <w:rPr>
          <w:b/>
          <w:bCs/>
        </w:rPr>
        <w:t>longer period controls</w:t>
      </w:r>
      <w:r w:rsidRPr="002D6A2A">
        <w:t>.</w:t>
      </w:r>
    </w:p>
    <w:p w14:paraId="6C1B4112" w14:textId="68E38D70" w:rsidR="002D6A2A" w:rsidRPr="002D6A2A" w:rsidRDefault="002D6A2A" w:rsidP="002D6A2A">
      <w:pPr>
        <w:pStyle w:val="ListParagraph"/>
        <w:numPr>
          <w:ilvl w:val="0"/>
          <w:numId w:val="2"/>
        </w:numPr>
        <w:spacing w:after="60" w:line="264" w:lineRule="auto"/>
      </w:pPr>
      <w:r w:rsidRPr="002D6A2A">
        <w:rPr>
          <w:b/>
          <w:bCs/>
        </w:rPr>
        <w:t>Tennessee reference</w:t>
      </w:r>
      <w:r w:rsidRPr="002D6A2A">
        <w:t xml:space="preserve"> — For Velacore's own operational and business records maintained in Tennessee, the working baseline is a minimum of </w:t>
      </w:r>
      <w:r w:rsidRPr="002D6A2A">
        <w:rPr>
          <w:b/>
          <w:bCs/>
        </w:rPr>
        <w:t>ten years</w:t>
      </w:r>
      <w:r w:rsidRPr="002D6A2A">
        <w:t xml:space="preserve"> to comfortably cover the HIPAA six-year floor and provide margin against the longest common state medical-record periods. </w:t>
      </w:r>
    </w:p>
    <w:p w14:paraId="6724565E" w14:textId="63A9BDD7" w:rsidR="002D6A2A" w:rsidRPr="002D6A2A" w:rsidRDefault="002D6A2A" w:rsidP="00376117">
      <w:pPr>
        <w:pStyle w:val="ListParagraph"/>
        <w:numPr>
          <w:ilvl w:val="0"/>
          <w:numId w:val="2"/>
        </w:numPr>
        <w:spacing w:after="60" w:line="264" w:lineRule="auto"/>
      </w:pPr>
      <w:r w:rsidRPr="002D6A2A">
        <w:rPr>
          <w:b/>
          <w:bCs/>
        </w:rPr>
        <w:t>Disposal</w:t>
      </w:r>
      <w:r w:rsidRPr="002D6A2A">
        <w:t xml:space="preserve"> — Disposal of ePHI uses secure, unrecoverable deletion; any paper is cross-cut shredded. Subcontractors (JotForm, Tidio, Airtable, email) must destroy or return PHI at contract termination per their subcontractor BAAs, and Velacore documents the disposal.</w:t>
      </w:r>
    </w:p>
    <w:p w14:paraId="3438447B" w14:textId="0A367B49" w:rsidR="00034228" w:rsidRDefault="00000000">
      <w:pPr>
        <w:pStyle w:val="ListParagraph"/>
        <w:numPr>
          <w:ilvl w:val="0"/>
          <w:numId w:val="2"/>
        </w:numPr>
        <w:spacing w:after="60" w:line="264" w:lineRule="auto"/>
      </w:pPr>
      <w:r>
        <w:rPr>
          <w:sz w:val="22"/>
          <w:szCs w:val="22"/>
        </w:rPr>
        <w:t>Disposal of ePHI uses secure deletion; paper (if any) is cross-cut shredded. Vendor-held data is destroyed or returned at contract termination per the BAA.</w:t>
      </w:r>
    </w:p>
    <w:p w14:paraId="6DA7E4C5" w14:textId="77777777" w:rsidR="00034228" w:rsidRDefault="00000000">
      <w:pPr>
        <w:pStyle w:val="Heading1"/>
        <w:spacing w:before="320" w:after="140"/>
      </w:pPr>
      <w:r>
        <w:rPr>
          <w:b/>
          <w:bCs/>
          <w:color w:val="1F3A5F"/>
          <w:sz w:val="28"/>
          <w:szCs w:val="28"/>
        </w:rPr>
        <w:t>5. Access Control &amp; Workforce Roles</w:t>
      </w:r>
    </w:p>
    <w:p w14:paraId="5D003B59" w14:textId="77777777" w:rsidR="00034228" w:rsidRDefault="00000000">
      <w:pPr>
        <w:spacing w:after="120" w:line="276" w:lineRule="auto"/>
      </w:pPr>
      <w:r>
        <w:rPr>
          <w:sz w:val="22"/>
          <w:szCs w:val="22"/>
        </w:rPr>
        <w:t>Access to PHI is role-based and follows the minimum-necessary principle. Each role receives only the access required to perform its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80"/>
        <w:gridCol w:w="3280"/>
      </w:tblGrid>
      <w:tr w:rsidR="00034228" w14:paraId="45129BEC"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6CF1A0D1" w14:textId="77777777" w:rsidR="00034228" w:rsidRDefault="00000000">
            <w:r>
              <w:rPr>
                <w:b/>
                <w:bCs/>
                <w:color w:val="FFFFFF"/>
              </w:rPr>
              <w:t>Role</w:t>
            </w:r>
          </w:p>
        </w:tc>
        <w:tc>
          <w:tcPr>
            <w:tcW w:w="3480" w:type="dxa"/>
            <w:shd w:val="clear" w:color="auto" w:fill="1F3A5F"/>
            <w:tcMar>
              <w:top w:w="60" w:type="dxa"/>
              <w:left w:w="100" w:type="dxa"/>
              <w:bottom w:w="60" w:type="dxa"/>
              <w:right w:w="100" w:type="dxa"/>
            </w:tcMar>
          </w:tcPr>
          <w:p w14:paraId="0CB369D1" w14:textId="77777777" w:rsidR="00034228" w:rsidRDefault="00000000">
            <w:r>
              <w:rPr>
                <w:b/>
                <w:bCs/>
                <w:color w:val="FFFFFF"/>
              </w:rPr>
              <w:t>PHI Access Level</w:t>
            </w:r>
          </w:p>
        </w:tc>
        <w:tc>
          <w:tcPr>
            <w:tcW w:w="3280" w:type="dxa"/>
            <w:shd w:val="clear" w:color="auto" w:fill="1F3A5F"/>
            <w:tcMar>
              <w:top w:w="60" w:type="dxa"/>
              <w:left w:w="100" w:type="dxa"/>
              <w:bottom w:w="60" w:type="dxa"/>
              <w:right w:w="100" w:type="dxa"/>
            </w:tcMar>
          </w:tcPr>
          <w:p w14:paraId="59EF1C04" w14:textId="77777777" w:rsidR="00034228" w:rsidRDefault="00000000">
            <w:r>
              <w:rPr>
                <w:b/>
                <w:bCs/>
                <w:color w:val="FFFFFF"/>
              </w:rPr>
              <w:t>Justification</w:t>
            </w:r>
          </w:p>
        </w:tc>
      </w:tr>
      <w:tr w:rsidR="00034228" w14:paraId="6F39AC5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75F477BC" w14:textId="5F9D8CBC" w:rsidR="00034228" w:rsidRDefault="00000000">
            <w:r>
              <w:rPr>
                <w:color w:val="000000"/>
              </w:rPr>
              <w:t>Compliance &amp; Operations (</w:t>
            </w:r>
            <w:r w:rsidR="00376117">
              <w:rPr>
                <w:color w:val="000000"/>
              </w:rPr>
              <w:t xml:space="preserve">Jonathan Douglass &amp; </w:t>
            </w:r>
            <w:r w:rsidR="00376117">
              <w:rPr>
                <w:color w:val="000000"/>
              </w:rPr>
              <w:t>Bryan Dourado)</w:t>
            </w:r>
          </w:p>
        </w:tc>
        <w:tc>
          <w:tcPr>
            <w:tcW w:w="3480" w:type="dxa"/>
            <w:shd w:val="clear" w:color="auto" w:fill="FFFFFF"/>
            <w:tcMar>
              <w:top w:w="60" w:type="dxa"/>
              <w:left w:w="100" w:type="dxa"/>
              <w:bottom w:w="60" w:type="dxa"/>
              <w:right w:w="100" w:type="dxa"/>
            </w:tcMar>
          </w:tcPr>
          <w:p w14:paraId="3EA260AE" w14:textId="77777777" w:rsidR="00034228" w:rsidRDefault="00000000">
            <w:r>
              <w:rPr>
                <w:color w:val="000000"/>
              </w:rPr>
              <w:t>Administrative + audit access to intake/coordination data</w:t>
            </w:r>
          </w:p>
        </w:tc>
        <w:tc>
          <w:tcPr>
            <w:tcW w:w="3280" w:type="dxa"/>
            <w:shd w:val="clear" w:color="auto" w:fill="FFFFFF"/>
            <w:tcMar>
              <w:top w:w="60" w:type="dxa"/>
              <w:left w:w="100" w:type="dxa"/>
              <w:bottom w:w="60" w:type="dxa"/>
              <w:right w:w="100" w:type="dxa"/>
            </w:tcMar>
          </w:tcPr>
          <w:p w14:paraId="7663D6F0" w14:textId="77777777" w:rsidR="00034228" w:rsidRDefault="00000000">
            <w:r>
              <w:rPr>
                <w:color w:val="000000"/>
              </w:rPr>
              <w:t>Oversees compliance, records integrity, breach response</w:t>
            </w:r>
          </w:p>
        </w:tc>
      </w:tr>
      <w:tr w:rsidR="00034228" w14:paraId="37C5E023"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294BECD" w14:textId="77777777" w:rsidR="00034228" w:rsidRDefault="00000000">
            <w:r>
              <w:rPr>
                <w:color w:val="000000"/>
              </w:rPr>
              <w:t>Coordination / Support staff</w:t>
            </w:r>
          </w:p>
        </w:tc>
        <w:tc>
          <w:tcPr>
            <w:tcW w:w="3480" w:type="dxa"/>
            <w:shd w:val="clear" w:color="auto" w:fill="FFFFFF"/>
            <w:tcMar>
              <w:top w:w="60" w:type="dxa"/>
              <w:left w:w="100" w:type="dxa"/>
              <w:bottom w:w="60" w:type="dxa"/>
              <w:right w:w="100" w:type="dxa"/>
            </w:tcMar>
          </w:tcPr>
          <w:p w14:paraId="6F687F6F" w14:textId="77777777" w:rsidR="00034228" w:rsidRDefault="00000000">
            <w:r>
              <w:rPr>
                <w:color w:val="000000"/>
              </w:rPr>
              <w:t>Only intake fields necessary to route the customer to AsherMed</w:t>
            </w:r>
          </w:p>
        </w:tc>
        <w:tc>
          <w:tcPr>
            <w:tcW w:w="3280" w:type="dxa"/>
            <w:shd w:val="clear" w:color="auto" w:fill="FFFFFF"/>
            <w:tcMar>
              <w:top w:w="60" w:type="dxa"/>
              <w:left w:w="100" w:type="dxa"/>
              <w:bottom w:w="60" w:type="dxa"/>
              <w:right w:w="100" w:type="dxa"/>
            </w:tcMar>
          </w:tcPr>
          <w:p w14:paraId="16EDB1AC" w14:textId="77777777" w:rsidR="00034228" w:rsidRDefault="00000000">
            <w:r>
              <w:rPr>
                <w:color w:val="000000"/>
              </w:rPr>
              <w:t>Customer service and coordination; no clinical decision role</w:t>
            </w:r>
          </w:p>
        </w:tc>
      </w:tr>
      <w:tr w:rsidR="00034228" w14:paraId="50C2F113"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74FD9F4F" w14:textId="77777777" w:rsidR="00034228" w:rsidRDefault="00000000">
            <w:r>
              <w:rPr>
                <w:color w:val="000000"/>
              </w:rPr>
              <w:t>AsherMed (covered entity)</w:t>
            </w:r>
          </w:p>
        </w:tc>
        <w:tc>
          <w:tcPr>
            <w:tcW w:w="3480" w:type="dxa"/>
            <w:shd w:val="clear" w:color="auto" w:fill="FFFFFF"/>
            <w:tcMar>
              <w:top w:w="60" w:type="dxa"/>
              <w:left w:w="100" w:type="dxa"/>
              <w:bottom w:w="60" w:type="dxa"/>
              <w:right w:w="100" w:type="dxa"/>
            </w:tcMar>
          </w:tcPr>
          <w:p w14:paraId="40D58A2B" w14:textId="77777777" w:rsidR="00034228" w:rsidRDefault="00000000">
            <w:r>
              <w:rPr>
                <w:color w:val="000000"/>
              </w:rPr>
              <w:t>Receives intake PHI Velacore transmits</w:t>
            </w:r>
          </w:p>
        </w:tc>
        <w:tc>
          <w:tcPr>
            <w:tcW w:w="3280" w:type="dxa"/>
            <w:shd w:val="clear" w:color="auto" w:fill="FFFFFF"/>
            <w:tcMar>
              <w:top w:w="60" w:type="dxa"/>
              <w:left w:w="100" w:type="dxa"/>
              <w:bottom w:w="60" w:type="dxa"/>
              <w:right w:w="100" w:type="dxa"/>
            </w:tcMar>
          </w:tcPr>
          <w:p w14:paraId="5B225FD2" w14:textId="77777777" w:rsidR="00034228" w:rsidRDefault="00000000">
            <w:r>
              <w:rPr>
                <w:color w:val="000000"/>
              </w:rPr>
              <w:t>Performs clinical evaluation and prescribing</w:t>
            </w:r>
          </w:p>
        </w:tc>
      </w:tr>
      <w:tr w:rsidR="00034228" w14:paraId="681E6259"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1A7546B" w14:textId="77777777" w:rsidR="00034228" w:rsidRDefault="00000000">
            <w:r>
              <w:rPr>
                <w:color w:val="000000"/>
              </w:rPr>
              <w:t>Subcontractors (JotForm, Tidio, Airtable, email)</w:t>
            </w:r>
          </w:p>
        </w:tc>
        <w:tc>
          <w:tcPr>
            <w:tcW w:w="3480" w:type="dxa"/>
            <w:shd w:val="clear" w:color="auto" w:fill="FFFFFF"/>
            <w:tcMar>
              <w:top w:w="60" w:type="dxa"/>
              <w:left w:w="100" w:type="dxa"/>
              <w:bottom w:w="60" w:type="dxa"/>
              <w:right w:w="100" w:type="dxa"/>
            </w:tcMar>
          </w:tcPr>
          <w:p w14:paraId="6B5E8A00" w14:textId="77777777" w:rsidR="00034228" w:rsidRDefault="00000000">
            <w:r>
              <w:rPr>
                <w:color w:val="000000"/>
              </w:rPr>
              <w:t>Only PHI processed by their system under subcontractor BAA</w:t>
            </w:r>
          </w:p>
        </w:tc>
        <w:tc>
          <w:tcPr>
            <w:tcW w:w="3280" w:type="dxa"/>
            <w:shd w:val="clear" w:color="auto" w:fill="FFFFFF"/>
            <w:tcMar>
              <w:top w:w="60" w:type="dxa"/>
              <w:left w:w="100" w:type="dxa"/>
              <w:bottom w:w="60" w:type="dxa"/>
              <w:right w:w="100" w:type="dxa"/>
            </w:tcMar>
          </w:tcPr>
          <w:p w14:paraId="24E108E1" w14:textId="77777777" w:rsidR="00034228" w:rsidRDefault="00000000">
            <w:r>
              <w:rPr>
                <w:color w:val="000000"/>
              </w:rPr>
              <w:t>Contracted service function</w:t>
            </w:r>
          </w:p>
        </w:tc>
      </w:tr>
    </w:tbl>
    <w:p w14:paraId="70AFDC87" w14:textId="77777777" w:rsidR="00034228" w:rsidRDefault="00000000">
      <w:pPr>
        <w:pStyle w:val="Heading2"/>
        <w:spacing w:before="220" w:after="100"/>
      </w:pPr>
      <w:r>
        <w:rPr>
          <w:b/>
          <w:bCs/>
          <w:color w:val="2E6E8E"/>
          <w:sz w:val="24"/>
          <w:szCs w:val="24"/>
        </w:rPr>
        <w:t>5.1 Access Safeguards</w:t>
      </w:r>
    </w:p>
    <w:p w14:paraId="25AC0BF9" w14:textId="77777777" w:rsidR="00034228" w:rsidRDefault="00000000">
      <w:pPr>
        <w:pStyle w:val="ListParagraph"/>
        <w:numPr>
          <w:ilvl w:val="0"/>
          <w:numId w:val="2"/>
        </w:numPr>
        <w:spacing w:after="60" w:line="264" w:lineRule="auto"/>
      </w:pPr>
      <w:r>
        <w:rPr>
          <w:sz w:val="22"/>
          <w:szCs w:val="22"/>
        </w:rPr>
        <w:t>Unique user IDs for every individual with system access (no shared logins).</w:t>
      </w:r>
    </w:p>
    <w:p w14:paraId="54541CB5" w14:textId="77777777" w:rsidR="00034228" w:rsidRDefault="00000000">
      <w:pPr>
        <w:pStyle w:val="ListParagraph"/>
        <w:numPr>
          <w:ilvl w:val="0"/>
          <w:numId w:val="2"/>
        </w:numPr>
        <w:spacing w:after="60" w:line="264" w:lineRule="auto"/>
      </w:pPr>
      <w:r>
        <w:rPr>
          <w:sz w:val="22"/>
          <w:szCs w:val="22"/>
        </w:rPr>
        <w:t>Multi-factor authentication (MFA) enabled on all systems that support it.</w:t>
      </w:r>
    </w:p>
    <w:p w14:paraId="39DE3002" w14:textId="77777777" w:rsidR="00034228" w:rsidRDefault="00000000">
      <w:pPr>
        <w:pStyle w:val="ListParagraph"/>
        <w:numPr>
          <w:ilvl w:val="0"/>
          <w:numId w:val="2"/>
        </w:numPr>
        <w:spacing w:after="60" w:line="264" w:lineRule="auto"/>
      </w:pPr>
      <w:r>
        <w:rPr>
          <w:sz w:val="22"/>
          <w:szCs w:val="22"/>
        </w:rPr>
        <w:t>Strong password policy; automatic session timeout.</w:t>
      </w:r>
    </w:p>
    <w:p w14:paraId="1BE497EB" w14:textId="77777777" w:rsidR="00034228" w:rsidRDefault="00000000">
      <w:pPr>
        <w:pStyle w:val="ListParagraph"/>
        <w:numPr>
          <w:ilvl w:val="0"/>
          <w:numId w:val="2"/>
        </w:numPr>
        <w:spacing w:after="60" w:line="264" w:lineRule="auto"/>
      </w:pPr>
      <w:r>
        <w:rPr>
          <w:sz w:val="22"/>
          <w:szCs w:val="22"/>
        </w:rPr>
        <w:t>Access is provisioned on hire/engagement and revoked immediately on separation or role change.</w:t>
      </w:r>
    </w:p>
    <w:p w14:paraId="2BA4C805" w14:textId="45C0247D" w:rsidR="00034228" w:rsidRDefault="00000000">
      <w:pPr>
        <w:pStyle w:val="ListParagraph"/>
        <w:numPr>
          <w:ilvl w:val="0"/>
          <w:numId w:val="2"/>
        </w:numPr>
        <w:spacing w:after="60" w:line="264" w:lineRule="auto"/>
      </w:pPr>
      <w:r>
        <w:rPr>
          <w:sz w:val="22"/>
          <w:szCs w:val="22"/>
        </w:rPr>
        <w:t>Access is reviewed at least quarterly</w:t>
      </w:r>
    </w:p>
    <w:p w14:paraId="6B9A43C0" w14:textId="77777777" w:rsidR="00034228" w:rsidRDefault="00000000">
      <w:pPr>
        <w:pStyle w:val="Heading1"/>
        <w:spacing w:before="320" w:after="140"/>
      </w:pPr>
      <w:r>
        <w:rPr>
          <w:b/>
          <w:bCs/>
          <w:color w:val="1F3A5F"/>
          <w:sz w:val="28"/>
          <w:szCs w:val="28"/>
        </w:rPr>
        <w:t>6. Administrative, Physical &amp; Technical Safeguards</w:t>
      </w:r>
    </w:p>
    <w:p w14:paraId="18261816" w14:textId="77777777" w:rsidR="00034228" w:rsidRDefault="00000000">
      <w:pPr>
        <w:pStyle w:val="Heading2"/>
        <w:spacing w:before="220" w:after="100"/>
      </w:pPr>
      <w:r>
        <w:rPr>
          <w:b/>
          <w:bCs/>
          <w:color w:val="2E6E8E"/>
          <w:sz w:val="24"/>
          <w:szCs w:val="24"/>
        </w:rPr>
        <w:t>6.1 Administrative</w:t>
      </w:r>
    </w:p>
    <w:p w14:paraId="0876B6DF" w14:textId="64E688AC" w:rsidR="00034228" w:rsidRDefault="00000000">
      <w:pPr>
        <w:pStyle w:val="ListParagraph"/>
        <w:numPr>
          <w:ilvl w:val="0"/>
          <w:numId w:val="2"/>
        </w:numPr>
        <w:spacing w:after="60" w:line="264" w:lineRule="auto"/>
      </w:pPr>
      <w:r>
        <w:rPr>
          <w:sz w:val="22"/>
          <w:szCs w:val="22"/>
        </w:rPr>
        <w:t xml:space="preserve">Designated HIPAA Privacy Officer and Security Officer: </w:t>
      </w:r>
      <w:r w:rsidR="00376117">
        <w:rPr>
          <w:sz w:val="22"/>
          <w:szCs w:val="22"/>
        </w:rPr>
        <w:t>Jonathan Douglass</w:t>
      </w:r>
      <w:r>
        <w:rPr>
          <w:sz w:val="22"/>
          <w:szCs w:val="22"/>
        </w:rPr>
        <w:t>.</w:t>
      </w:r>
    </w:p>
    <w:p w14:paraId="4D52494D" w14:textId="77777777" w:rsidR="00034228" w:rsidRDefault="00000000">
      <w:pPr>
        <w:pStyle w:val="ListParagraph"/>
        <w:numPr>
          <w:ilvl w:val="0"/>
          <w:numId w:val="2"/>
        </w:numPr>
        <w:spacing w:after="60" w:line="264" w:lineRule="auto"/>
      </w:pPr>
      <w:r>
        <w:rPr>
          <w:sz w:val="22"/>
          <w:szCs w:val="22"/>
        </w:rPr>
        <w:t>Annual HIPAA training for all workforce members; documented completion.</w:t>
      </w:r>
    </w:p>
    <w:p w14:paraId="68D2E2F7" w14:textId="2320A4ED" w:rsidR="00034228" w:rsidRDefault="00000000">
      <w:pPr>
        <w:pStyle w:val="ListParagraph"/>
        <w:numPr>
          <w:ilvl w:val="0"/>
          <w:numId w:val="2"/>
        </w:numPr>
        <w:spacing w:after="60" w:line="264" w:lineRule="auto"/>
      </w:pPr>
      <w:r>
        <w:rPr>
          <w:sz w:val="22"/>
          <w:szCs w:val="22"/>
        </w:rPr>
        <w:lastRenderedPageBreak/>
        <w:t>Security risk assessment conducted at least annually (45 CFR 164.308(a)(1)).</w:t>
      </w:r>
      <w:r w:rsidR="00376117">
        <w:rPr>
          <w:sz w:val="22"/>
          <w:szCs w:val="22"/>
        </w:rPr>
        <w:t xml:space="preserve"> (Link to </w:t>
      </w:r>
      <w:hyperlink r:id="rId7" w:history="1">
        <w:r w:rsidR="00376117" w:rsidRPr="003F568A">
          <w:rPr>
            <w:rStyle w:val="Hyperlink"/>
            <w:sz w:val="22"/>
            <w:szCs w:val="22"/>
          </w:rPr>
          <w:t>document</w:t>
        </w:r>
      </w:hyperlink>
      <w:r w:rsidR="00376117">
        <w:rPr>
          <w:sz w:val="22"/>
          <w:szCs w:val="22"/>
        </w:rPr>
        <w:t xml:space="preserve"> and </w:t>
      </w:r>
      <w:hyperlink r:id="rId8" w:history="1">
        <w:r w:rsidR="00376117" w:rsidRPr="005747A9">
          <w:rPr>
            <w:rStyle w:val="Hyperlink"/>
            <w:sz w:val="22"/>
            <w:szCs w:val="22"/>
          </w:rPr>
          <w:t>prior assessments</w:t>
        </w:r>
      </w:hyperlink>
      <w:r w:rsidR="00376117">
        <w:rPr>
          <w:sz w:val="22"/>
          <w:szCs w:val="22"/>
        </w:rPr>
        <w:t>)</w:t>
      </w:r>
    </w:p>
    <w:p w14:paraId="7D5A0F51" w14:textId="77777777" w:rsidR="00034228" w:rsidRDefault="00000000">
      <w:pPr>
        <w:pStyle w:val="ListParagraph"/>
        <w:numPr>
          <w:ilvl w:val="0"/>
          <w:numId w:val="2"/>
        </w:numPr>
        <w:spacing w:after="60" w:line="264" w:lineRule="auto"/>
      </w:pPr>
      <w:r>
        <w:rPr>
          <w:sz w:val="22"/>
          <w:szCs w:val="22"/>
        </w:rPr>
        <w:t>Sanctions policy for workforce members who violate this policy.</w:t>
      </w:r>
    </w:p>
    <w:p w14:paraId="030AA4B8" w14:textId="77777777" w:rsidR="00034228" w:rsidRDefault="00000000">
      <w:pPr>
        <w:pStyle w:val="Heading2"/>
        <w:spacing w:before="220" w:after="100"/>
      </w:pPr>
      <w:r>
        <w:rPr>
          <w:b/>
          <w:bCs/>
          <w:color w:val="2E6E8E"/>
          <w:sz w:val="24"/>
          <w:szCs w:val="24"/>
        </w:rPr>
        <w:t>6.2 Physical</w:t>
      </w:r>
    </w:p>
    <w:p w14:paraId="4A5DD7EC" w14:textId="77777777" w:rsidR="00034228" w:rsidRDefault="00000000">
      <w:pPr>
        <w:pStyle w:val="ListParagraph"/>
        <w:numPr>
          <w:ilvl w:val="0"/>
          <w:numId w:val="2"/>
        </w:numPr>
        <w:spacing w:after="60" w:line="264" w:lineRule="auto"/>
      </w:pPr>
      <w:r>
        <w:rPr>
          <w:sz w:val="22"/>
          <w:szCs w:val="22"/>
        </w:rPr>
        <w:t>Workstations accessing PHI are secured (locked screens, private workspace).</w:t>
      </w:r>
    </w:p>
    <w:p w14:paraId="0D31519B" w14:textId="77777777" w:rsidR="00034228" w:rsidRDefault="00000000">
      <w:pPr>
        <w:pStyle w:val="ListParagraph"/>
        <w:numPr>
          <w:ilvl w:val="0"/>
          <w:numId w:val="2"/>
        </w:numPr>
        <w:spacing w:after="60" w:line="264" w:lineRule="auto"/>
      </w:pPr>
      <w:r>
        <w:rPr>
          <w:sz w:val="22"/>
          <w:szCs w:val="22"/>
        </w:rPr>
        <w:t>No PHI visible to unauthorized persons; devices are password-locked and encrypted.</w:t>
      </w:r>
    </w:p>
    <w:p w14:paraId="38145BC2" w14:textId="77777777" w:rsidR="00034228" w:rsidRDefault="00000000">
      <w:pPr>
        <w:pStyle w:val="Heading2"/>
        <w:spacing w:before="220" w:after="100"/>
      </w:pPr>
      <w:r>
        <w:rPr>
          <w:b/>
          <w:bCs/>
          <w:color w:val="2E6E8E"/>
          <w:sz w:val="24"/>
          <w:szCs w:val="24"/>
        </w:rPr>
        <w:t>6.3 Technical</w:t>
      </w:r>
    </w:p>
    <w:p w14:paraId="00110104" w14:textId="77777777" w:rsidR="00034228" w:rsidRDefault="00000000">
      <w:pPr>
        <w:pStyle w:val="ListParagraph"/>
        <w:numPr>
          <w:ilvl w:val="0"/>
          <w:numId w:val="2"/>
        </w:numPr>
        <w:spacing w:after="60" w:line="264" w:lineRule="auto"/>
      </w:pPr>
      <w:r>
        <w:rPr>
          <w:sz w:val="22"/>
          <w:szCs w:val="22"/>
        </w:rPr>
        <w:t>Encryption at rest and in transit; audit logging enabled where available.</w:t>
      </w:r>
    </w:p>
    <w:p w14:paraId="27609A45" w14:textId="77777777" w:rsidR="00034228" w:rsidRDefault="00000000">
      <w:pPr>
        <w:pStyle w:val="ListParagraph"/>
        <w:numPr>
          <w:ilvl w:val="0"/>
          <w:numId w:val="2"/>
        </w:numPr>
        <w:spacing w:after="60" w:line="264" w:lineRule="auto"/>
      </w:pPr>
      <w:r>
        <w:rPr>
          <w:sz w:val="22"/>
          <w:szCs w:val="22"/>
        </w:rPr>
        <w:t>Automatic logoff, integrity controls, and access-control mechanisms per 45 CFR 164.312.</w:t>
      </w:r>
    </w:p>
    <w:p w14:paraId="400B1C2A" w14:textId="77777777" w:rsidR="00034228" w:rsidRDefault="00000000">
      <w:pPr>
        <w:pStyle w:val="Heading1"/>
        <w:spacing w:before="320" w:after="140"/>
      </w:pPr>
      <w:r>
        <w:rPr>
          <w:b/>
          <w:bCs/>
          <w:color w:val="1F3A5F"/>
          <w:sz w:val="28"/>
          <w:szCs w:val="28"/>
        </w:rPr>
        <w:t>7. Business Associate Agreements (BAAs)</w:t>
      </w:r>
    </w:p>
    <w:p w14:paraId="0544493C" w14:textId="22759938" w:rsidR="00034228" w:rsidRDefault="00000000">
      <w:pPr>
        <w:spacing w:after="120" w:line="276" w:lineRule="auto"/>
      </w:pPr>
      <w:r>
        <w:rPr>
          <w:sz w:val="22"/>
          <w:szCs w:val="22"/>
        </w:rPr>
        <w:t>Two layers of agreement apply. First, Velacore must have a fully executed BAA with AsherMed (the covered entity) defining Velacore’s permitted uses of PHI and its obligations as a business associate. Second, no downstream vendor may create, receive, store, or transmit PHI on Velacore’s behalf without a fully executed subcontractor BAA between Velacore and that vendor, flowing down the safeguard, use/disclosure, breach-reporting, and return-or-destroy obligations required by 45 CFR 164.502(e)(1)(ii) and 164.308(b). BAA status is tracked below and audited ann</w:t>
      </w:r>
      <w:r w:rsidR="00376117">
        <w:rPr>
          <w:sz w:val="22"/>
          <w:szCs w:val="22"/>
        </w:rPr>
        <w:t xml:space="preserve">ually. </w:t>
      </w:r>
    </w:p>
    <w:p w14:paraId="27BA2B56" w14:textId="77777777" w:rsidR="00034228" w:rsidRDefault="00000000">
      <w:pPr>
        <w:pStyle w:val="Heading1"/>
        <w:spacing w:before="320" w:after="140"/>
      </w:pPr>
      <w:r>
        <w:rPr>
          <w:b/>
          <w:bCs/>
          <w:color w:val="1F3A5F"/>
          <w:sz w:val="28"/>
          <w:szCs w:val="28"/>
        </w:rPr>
        <w:t>8. BAA Inventory &amp; PHI Data Map</w:t>
      </w:r>
    </w:p>
    <w:p w14:paraId="2C1D3FFC" w14:textId="77777777" w:rsidR="00034228" w:rsidRDefault="00000000">
      <w:pPr>
        <w:spacing w:after="120" w:line="276" w:lineRule="auto"/>
      </w:pPr>
      <w:r>
        <w:rPr>
          <w:sz w:val="22"/>
          <w:szCs w:val="22"/>
        </w:rPr>
        <w:t>The first row is Velacore’s upstream BAA with the covered entity; the remaining rows are Velacore’s downstream subcontractors, each of which must have a subcontractor BAA before go-live. [Confirm each vendor’s HIPAA-eligible plan tier — several require a specific paid tier to sign a BAA.]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0"/>
        <w:gridCol w:w="1900"/>
        <w:gridCol w:w="2000"/>
      </w:tblGrid>
      <w:tr w:rsidR="00034228" w14:paraId="7E30724F" w14:textId="77777777">
        <w:tblPrEx>
          <w:tblCellMar>
            <w:top w:w="0" w:type="dxa"/>
            <w:bottom w:w="0" w:type="dxa"/>
          </w:tblCellMar>
        </w:tblPrEx>
        <w:trPr>
          <w:tblHeader/>
        </w:trPr>
        <w:tc>
          <w:tcPr>
            <w:tcW w:w="1900" w:type="dxa"/>
            <w:shd w:val="clear" w:color="auto" w:fill="1F3A5F"/>
            <w:tcMar>
              <w:top w:w="60" w:type="dxa"/>
              <w:left w:w="100" w:type="dxa"/>
              <w:bottom w:w="60" w:type="dxa"/>
              <w:right w:w="100" w:type="dxa"/>
            </w:tcMar>
          </w:tcPr>
          <w:p w14:paraId="792C73CB" w14:textId="77777777" w:rsidR="00034228" w:rsidRDefault="00000000">
            <w:r>
              <w:rPr>
                <w:b/>
                <w:bCs/>
                <w:color w:val="FFFFFF"/>
              </w:rPr>
              <w:t>Party</w:t>
            </w:r>
          </w:p>
        </w:tc>
        <w:tc>
          <w:tcPr>
            <w:tcW w:w="3560" w:type="dxa"/>
            <w:shd w:val="clear" w:color="auto" w:fill="1F3A5F"/>
            <w:tcMar>
              <w:top w:w="60" w:type="dxa"/>
              <w:left w:w="100" w:type="dxa"/>
              <w:bottom w:w="60" w:type="dxa"/>
              <w:right w:w="100" w:type="dxa"/>
            </w:tcMar>
          </w:tcPr>
          <w:p w14:paraId="39633D5D" w14:textId="77777777" w:rsidR="00034228" w:rsidRDefault="00000000">
            <w:r>
              <w:rPr>
                <w:b/>
                <w:bCs/>
                <w:color w:val="FFFFFF"/>
              </w:rPr>
              <w:t>Relationship / PHI Handled</w:t>
            </w:r>
          </w:p>
        </w:tc>
        <w:tc>
          <w:tcPr>
            <w:tcW w:w="1900" w:type="dxa"/>
            <w:shd w:val="clear" w:color="auto" w:fill="1F3A5F"/>
            <w:tcMar>
              <w:top w:w="60" w:type="dxa"/>
              <w:left w:w="100" w:type="dxa"/>
              <w:bottom w:w="60" w:type="dxa"/>
              <w:right w:w="100" w:type="dxa"/>
            </w:tcMar>
          </w:tcPr>
          <w:p w14:paraId="2F35F420" w14:textId="77777777" w:rsidR="00034228" w:rsidRDefault="00000000">
            <w:r>
              <w:rPr>
                <w:b/>
                <w:bCs/>
                <w:color w:val="FFFFFF"/>
              </w:rPr>
              <w:t>Agreement</w:t>
            </w:r>
          </w:p>
        </w:tc>
        <w:tc>
          <w:tcPr>
            <w:tcW w:w="2000" w:type="dxa"/>
            <w:shd w:val="clear" w:color="auto" w:fill="1F3A5F"/>
            <w:tcMar>
              <w:top w:w="60" w:type="dxa"/>
              <w:left w:w="100" w:type="dxa"/>
              <w:bottom w:w="60" w:type="dxa"/>
              <w:right w:w="100" w:type="dxa"/>
            </w:tcMar>
          </w:tcPr>
          <w:p w14:paraId="43E33336" w14:textId="77777777" w:rsidR="00034228" w:rsidRDefault="00000000">
            <w:r>
              <w:rPr>
                <w:b/>
                <w:bCs/>
                <w:color w:val="FFFFFF"/>
              </w:rPr>
              <w:t>Status</w:t>
            </w:r>
          </w:p>
        </w:tc>
      </w:tr>
      <w:tr w:rsidR="00034228" w14:paraId="2C75F6FF"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39E3CC8" w14:textId="77777777" w:rsidR="00034228" w:rsidRDefault="00000000">
            <w:r>
              <w:rPr>
                <w:color w:val="000000"/>
              </w:rPr>
              <w:t>AsherMed</w:t>
            </w:r>
          </w:p>
        </w:tc>
        <w:tc>
          <w:tcPr>
            <w:tcW w:w="3560" w:type="dxa"/>
            <w:shd w:val="clear" w:color="auto" w:fill="FFFFFF"/>
            <w:tcMar>
              <w:top w:w="60" w:type="dxa"/>
              <w:left w:w="100" w:type="dxa"/>
              <w:bottom w:w="60" w:type="dxa"/>
              <w:right w:w="100" w:type="dxa"/>
            </w:tcMar>
          </w:tcPr>
          <w:p w14:paraId="088E96B5" w14:textId="77777777" w:rsidR="00034228" w:rsidRDefault="00000000">
            <w:r>
              <w:rPr>
                <w:color w:val="000000"/>
              </w:rPr>
              <w:t>Covered entity — Velacore handles intake PHI on its behalf</w:t>
            </w:r>
          </w:p>
        </w:tc>
        <w:tc>
          <w:tcPr>
            <w:tcW w:w="1900" w:type="dxa"/>
            <w:shd w:val="clear" w:color="auto" w:fill="FFFFFF"/>
            <w:tcMar>
              <w:top w:w="60" w:type="dxa"/>
              <w:left w:w="100" w:type="dxa"/>
              <w:bottom w:w="60" w:type="dxa"/>
              <w:right w:w="100" w:type="dxa"/>
            </w:tcMar>
          </w:tcPr>
          <w:p w14:paraId="61384D42" w14:textId="77777777" w:rsidR="00034228" w:rsidRDefault="00000000">
            <w:r>
              <w:rPr>
                <w:color w:val="000000"/>
              </w:rPr>
              <w:t>BAA (Velacore = business associate)</w:t>
            </w:r>
          </w:p>
        </w:tc>
        <w:tc>
          <w:tcPr>
            <w:tcW w:w="2000" w:type="dxa"/>
            <w:shd w:val="clear" w:color="auto" w:fill="FFFFFF"/>
            <w:tcMar>
              <w:top w:w="60" w:type="dxa"/>
              <w:left w:w="100" w:type="dxa"/>
              <w:bottom w:w="60" w:type="dxa"/>
              <w:right w:w="100" w:type="dxa"/>
            </w:tcMar>
          </w:tcPr>
          <w:p w14:paraId="47F8BCF6" w14:textId="6AD3CA57" w:rsidR="00034228" w:rsidRDefault="00000000">
            <w:r>
              <w:rPr>
                <w:color w:val="000000"/>
              </w:rPr>
              <w:t>[ ] Executed  [</w:t>
            </w:r>
            <w:r w:rsidR="003F568A">
              <w:rPr>
                <w:color w:val="000000"/>
              </w:rPr>
              <w:t>X</w:t>
            </w:r>
            <w:r>
              <w:rPr>
                <w:color w:val="000000"/>
              </w:rPr>
              <w:t xml:space="preserve"> ] Pending</w:t>
            </w:r>
          </w:p>
        </w:tc>
      </w:tr>
      <w:tr w:rsidR="00034228" w14:paraId="3AE13F52"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44914F02" w14:textId="77777777" w:rsidR="00034228" w:rsidRDefault="00000000">
            <w:r>
              <w:rPr>
                <w:color w:val="000000"/>
              </w:rPr>
              <w:t>JotForm</w:t>
            </w:r>
          </w:p>
        </w:tc>
        <w:tc>
          <w:tcPr>
            <w:tcW w:w="3560" w:type="dxa"/>
            <w:shd w:val="clear" w:color="auto" w:fill="FFFFFF"/>
            <w:tcMar>
              <w:top w:w="60" w:type="dxa"/>
              <w:left w:w="100" w:type="dxa"/>
              <w:bottom w:w="60" w:type="dxa"/>
              <w:right w:w="100" w:type="dxa"/>
            </w:tcMar>
          </w:tcPr>
          <w:p w14:paraId="1590C650" w14:textId="77777777" w:rsidR="00034228" w:rsidRDefault="00000000">
            <w:r>
              <w:rPr>
                <w:color w:val="000000"/>
              </w:rPr>
              <w:t>Subcontractor — intake forms: identifiers, health history, symptoms</w:t>
            </w:r>
          </w:p>
        </w:tc>
        <w:tc>
          <w:tcPr>
            <w:tcW w:w="1900" w:type="dxa"/>
            <w:shd w:val="clear" w:color="auto" w:fill="FFFFFF"/>
            <w:tcMar>
              <w:top w:w="60" w:type="dxa"/>
              <w:left w:w="100" w:type="dxa"/>
              <w:bottom w:w="60" w:type="dxa"/>
              <w:right w:w="100" w:type="dxa"/>
            </w:tcMar>
          </w:tcPr>
          <w:p w14:paraId="6E14A295" w14:textId="77777777" w:rsidR="00034228" w:rsidRDefault="00000000">
            <w:r>
              <w:rPr>
                <w:color w:val="000000"/>
              </w:rPr>
              <w:t>Subcontractor BAA (HIPAA plan)</w:t>
            </w:r>
          </w:p>
        </w:tc>
        <w:tc>
          <w:tcPr>
            <w:tcW w:w="2000" w:type="dxa"/>
            <w:shd w:val="clear" w:color="auto" w:fill="FFFFFF"/>
            <w:tcMar>
              <w:top w:w="60" w:type="dxa"/>
              <w:left w:w="100" w:type="dxa"/>
              <w:bottom w:w="60" w:type="dxa"/>
              <w:right w:w="100" w:type="dxa"/>
            </w:tcMar>
          </w:tcPr>
          <w:p w14:paraId="28AE1ED3" w14:textId="1483C4CD" w:rsidR="00034228" w:rsidRDefault="00000000">
            <w:r>
              <w:rPr>
                <w:color w:val="000000"/>
              </w:rPr>
              <w:t>[</w:t>
            </w:r>
            <w:r w:rsidR="00376117">
              <w:rPr>
                <w:color w:val="000000"/>
              </w:rPr>
              <w:t>X</w:t>
            </w:r>
            <w:r>
              <w:rPr>
                <w:color w:val="000000"/>
              </w:rPr>
              <w:t xml:space="preserve"> ] Executed  [ ] Pending</w:t>
            </w:r>
          </w:p>
        </w:tc>
      </w:tr>
      <w:tr w:rsidR="00034228" w14:paraId="6122A876"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6E470F3E" w14:textId="77777777" w:rsidR="00034228" w:rsidRPr="003F568A" w:rsidRDefault="00000000">
            <w:pPr>
              <w:rPr>
                <w:highlight w:val="yellow"/>
              </w:rPr>
            </w:pPr>
            <w:r w:rsidRPr="003F568A">
              <w:rPr>
                <w:color w:val="000000"/>
                <w:highlight w:val="yellow"/>
              </w:rPr>
              <w:t>Tidio</w:t>
            </w:r>
          </w:p>
        </w:tc>
        <w:tc>
          <w:tcPr>
            <w:tcW w:w="3560" w:type="dxa"/>
            <w:shd w:val="clear" w:color="auto" w:fill="FFFFFF"/>
            <w:tcMar>
              <w:top w:w="60" w:type="dxa"/>
              <w:left w:w="100" w:type="dxa"/>
              <w:bottom w:w="60" w:type="dxa"/>
              <w:right w:w="100" w:type="dxa"/>
            </w:tcMar>
          </w:tcPr>
          <w:p w14:paraId="3720B14A" w14:textId="77777777" w:rsidR="00034228" w:rsidRPr="003F568A" w:rsidRDefault="00000000">
            <w:pPr>
              <w:rPr>
                <w:highlight w:val="yellow"/>
              </w:rPr>
            </w:pPr>
            <w:r w:rsidRPr="003F568A">
              <w:rPr>
                <w:color w:val="000000"/>
                <w:highlight w:val="yellow"/>
              </w:rPr>
              <w:t>Subcontractor — chat/support: may capture identifiers &amp; health questions</w:t>
            </w:r>
          </w:p>
        </w:tc>
        <w:tc>
          <w:tcPr>
            <w:tcW w:w="1900" w:type="dxa"/>
            <w:shd w:val="clear" w:color="auto" w:fill="FFFFFF"/>
            <w:tcMar>
              <w:top w:w="60" w:type="dxa"/>
              <w:left w:w="100" w:type="dxa"/>
              <w:bottom w:w="60" w:type="dxa"/>
              <w:right w:w="100" w:type="dxa"/>
            </w:tcMar>
          </w:tcPr>
          <w:p w14:paraId="7C3E2FC8" w14:textId="77777777" w:rsidR="00034228" w:rsidRPr="003F568A" w:rsidRDefault="00000000">
            <w:pPr>
              <w:rPr>
                <w:highlight w:val="yellow"/>
              </w:rPr>
            </w:pPr>
            <w:r w:rsidRPr="003F568A">
              <w:rPr>
                <w:color w:val="000000"/>
                <w:highlight w:val="yellow"/>
              </w:rPr>
              <w:t>Subcontractor BAA</w:t>
            </w:r>
          </w:p>
        </w:tc>
        <w:tc>
          <w:tcPr>
            <w:tcW w:w="2000" w:type="dxa"/>
            <w:shd w:val="clear" w:color="auto" w:fill="FFFFFF"/>
            <w:tcMar>
              <w:top w:w="60" w:type="dxa"/>
              <w:left w:w="100" w:type="dxa"/>
              <w:bottom w:w="60" w:type="dxa"/>
              <w:right w:w="100" w:type="dxa"/>
            </w:tcMar>
          </w:tcPr>
          <w:p w14:paraId="78BC0BEE" w14:textId="77777777" w:rsidR="00034228" w:rsidRPr="003F568A" w:rsidRDefault="00000000">
            <w:pPr>
              <w:rPr>
                <w:highlight w:val="yellow"/>
              </w:rPr>
            </w:pPr>
            <w:r w:rsidRPr="003F568A">
              <w:rPr>
                <w:color w:val="000000"/>
                <w:highlight w:val="yellow"/>
              </w:rPr>
              <w:t xml:space="preserve">[ ] Executed  [ ] </w:t>
            </w:r>
            <w:commentRangeStart w:id="0"/>
            <w:r w:rsidRPr="003F568A">
              <w:rPr>
                <w:color w:val="000000"/>
                <w:highlight w:val="yellow"/>
              </w:rPr>
              <w:t>Pending</w:t>
            </w:r>
            <w:commentRangeEnd w:id="0"/>
            <w:r w:rsidR="003F568A" w:rsidRPr="003F568A">
              <w:rPr>
                <w:rStyle w:val="CommentReference"/>
                <w:sz w:val="20"/>
                <w:szCs w:val="20"/>
                <w:highlight w:val="yellow"/>
              </w:rPr>
              <w:commentReference w:id="0"/>
            </w:r>
          </w:p>
        </w:tc>
      </w:tr>
      <w:tr w:rsidR="00034228" w14:paraId="3AD48841"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09A5B294" w14:textId="3D160230" w:rsidR="00034228" w:rsidRDefault="00000000">
            <w:r>
              <w:rPr>
                <w:color w:val="000000"/>
              </w:rPr>
              <w:t xml:space="preserve">Email platform </w:t>
            </w:r>
            <w:r w:rsidR="003F568A">
              <w:rPr>
                <w:color w:val="000000"/>
              </w:rPr>
              <w:t>(N/A)</w:t>
            </w:r>
          </w:p>
        </w:tc>
        <w:tc>
          <w:tcPr>
            <w:tcW w:w="3560" w:type="dxa"/>
            <w:shd w:val="clear" w:color="auto" w:fill="FFFFFF"/>
            <w:tcMar>
              <w:top w:w="60" w:type="dxa"/>
              <w:left w:w="100" w:type="dxa"/>
              <w:bottom w:w="60" w:type="dxa"/>
              <w:right w:w="100" w:type="dxa"/>
            </w:tcMar>
          </w:tcPr>
          <w:p w14:paraId="34C086F9" w14:textId="1FC24386" w:rsidR="00034228" w:rsidRDefault="003F568A">
            <w:r>
              <w:rPr>
                <w:color w:val="000000"/>
              </w:rPr>
              <w:t xml:space="preserve"> No PHI will be sent via standard email platforms</w:t>
            </w:r>
          </w:p>
        </w:tc>
        <w:tc>
          <w:tcPr>
            <w:tcW w:w="1900" w:type="dxa"/>
            <w:shd w:val="clear" w:color="auto" w:fill="FFFFFF"/>
            <w:tcMar>
              <w:top w:w="60" w:type="dxa"/>
              <w:left w:w="100" w:type="dxa"/>
              <w:bottom w:w="60" w:type="dxa"/>
              <w:right w:w="100" w:type="dxa"/>
            </w:tcMar>
          </w:tcPr>
          <w:p w14:paraId="5906C291" w14:textId="4EF443BD" w:rsidR="00034228" w:rsidRDefault="003F568A">
            <w:r>
              <w:rPr>
                <w:color w:val="000000"/>
              </w:rPr>
              <w:t>N/A</w:t>
            </w:r>
          </w:p>
        </w:tc>
        <w:tc>
          <w:tcPr>
            <w:tcW w:w="2000" w:type="dxa"/>
            <w:shd w:val="clear" w:color="auto" w:fill="FFFFFF"/>
            <w:tcMar>
              <w:top w:w="60" w:type="dxa"/>
              <w:left w:w="100" w:type="dxa"/>
              <w:bottom w:w="60" w:type="dxa"/>
              <w:right w:w="100" w:type="dxa"/>
            </w:tcMar>
          </w:tcPr>
          <w:p w14:paraId="736312C8" w14:textId="59376D81" w:rsidR="00034228" w:rsidRDefault="003F568A">
            <w:r>
              <w:rPr>
                <w:color w:val="000000"/>
              </w:rPr>
              <w:t>N/A</w:t>
            </w:r>
          </w:p>
        </w:tc>
      </w:tr>
      <w:tr w:rsidR="00034228" w14:paraId="151E5350"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067BFA5C" w14:textId="77777777" w:rsidR="00034228" w:rsidRDefault="00000000">
            <w:commentRangeStart w:id="1"/>
            <w:r>
              <w:rPr>
                <w:color w:val="000000"/>
              </w:rPr>
              <w:t>Airtable</w:t>
            </w:r>
          </w:p>
        </w:tc>
        <w:tc>
          <w:tcPr>
            <w:tcW w:w="3560" w:type="dxa"/>
            <w:shd w:val="clear" w:color="auto" w:fill="FFFFFF"/>
            <w:tcMar>
              <w:top w:w="60" w:type="dxa"/>
              <w:left w:w="100" w:type="dxa"/>
              <w:bottom w:w="60" w:type="dxa"/>
              <w:right w:w="100" w:type="dxa"/>
            </w:tcMar>
          </w:tcPr>
          <w:p w14:paraId="5D405F9B" w14:textId="77777777" w:rsidR="00034228" w:rsidRDefault="00000000">
            <w:r>
              <w:rPr>
                <w:color w:val="000000"/>
              </w:rPr>
              <w:t>Subcontractor — coordination records, demographic/intake data</w:t>
            </w:r>
          </w:p>
        </w:tc>
        <w:tc>
          <w:tcPr>
            <w:tcW w:w="1900" w:type="dxa"/>
            <w:shd w:val="clear" w:color="auto" w:fill="FFFFFF"/>
            <w:tcMar>
              <w:top w:w="60" w:type="dxa"/>
              <w:left w:w="100" w:type="dxa"/>
              <w:bottom w:w="60" w:type="dxa"/>
              <w:right w:w="100" w:type="dxa"/>
            </w:tcMar>
          </w:tcPr>
          <w:p w14:paraId="09A0A264" w14:textId="77777777" w:rsidR="00034228" w:rsidRDefault="00000000">
            <w:r>
              <w:rPr>
                <w:color w:val="000000"/>
              </w:rPr>
              <w:t>Subcontractor BAA (Business/Ent.)</w:t>
            </w:r>
          </w:p>
        </w:tc>
        <w:tc>
          <w:tcPr>
            <w:tcW w:w="2000" w:type="dxa"/>
            <w:shd w:val="clear" w:color="auto" w:fill="FFFFFF"/>
            <w:tcMar>
              <w:top w:w="60" w:type="dxa"/>
              <w:left w:w="100" w:type="dxa"/>
              <w:bottom w:w="60" w:type="dxa"/>
              <w:right w:w="100" w:type="dxa"/>
            </w:tcMar>
          </w:tcPr>
          <w:p w14:paraId="72828B13" w14:textId="77777777" w:rsidR="00034228" w:rsidRDefault="00000000">
            <w:r>
              <w:rPr>
                <w:color w:val="000000"/>
              </w:rPr>
              <w:t>[ ] Executed  [ ] Pending</w:t>
            </w:r>
            <w:commentRangeEnd w:id="1"/>
            <w:r w:rsidR="003F568A">
              <w:rPr>
                <w:rStyle w:val="CommentReference"/>
                <w:sz w:val="20"/>
                <w:szCs w:val="20"/>
              </w:rPr>
              <w:commentReference w:id="1"/>
            </w:r>
          </w:p>
        </w:tc>
      </w:tr>
    </w:tbl>
    <w:p w14:paraId="476EDDD5" w14:textId="66266A95" w:rsidR="00034228" w:rsidRDefault="00000000">
      <w:pPr>
        <w:spacing w:after="120" w:line="276" w:lineRule="auto"/>
      </w:pPr>
      <w:r>
        <w:rPr>
          <w:sz w:val="22"/>
          <w:szCs w:val="22"/>
        </w:rPr>
        <w:t xml:space="preserve">Note the routing flow: Velacore transmits intake PHI to AsherMed; AsherMed’s physician evaluates and, on approval, sends the prescription directly to the compounding pharmacy. The compounding pharmacy is AsherMed’s dispensing relationship, not Velacore’s subcontractor — Velacore does not handle fulfillment PHI. If a listed consumer tool cannot support a BAA on your current plan, PHI must not flow </w:t>
      </w:r>
      <w:r>
        <w:rPr>
          <w:sz w:val="22"/>
          <w:szCs w:val="22"/>
        </w:rPr>
        <w:lastRenderedPageBreak/>
        <w:t>through it until upgraded or replaced — Tidio and standard JotForm/email tiers commonly do NOT include a BAA.</w:t>
      </w:r>
    </w:p>
    <w:p w14:paraId="03410FF2" w14:textId="77777777" w:rsidR="00034228" w:rsidRDefault="00000000">
      <w:pPr>
        <w:pStyle w:val="Heading1"/>
        <w:spacing w:before="320" w:after="140"/>
      </w:pPr>
      <w:r>
        <w:rPr>
          <w:b/>
          <w:bCs/>
          <w:color w:val="1F3A5F"/>
          <w:sz w:val="28"/>
          <w:szCs w:val="28"/>
        </w:rPr>
        <w:t>9. Breach Response Plan</w:t>
      </w:r>
    </w:p>
    <w:p w14:paraId="720D690A" w14:textId="77777777" w:rsidR="00034228" w:rsidRDefault="00000000">
      <w:pPr>
        <w:spacing w:after="120" w:line="276" w:lineRule="auto"/>
      </w:pPr>
      <w:r>
        <w:rPr>
          <w:sz w:val="22"/>
          <w:szCs w:val="22"/>
        </w:rPr>
        <w:t>A breach is the unauthorized acquisition, access, use, or disclosure of PHI that compromises its security or privacy (45 CFR 164.402). On discovery of a suspected or confirmed breach:</w:t>
      </w:r>
    </w:p>
    <w:p w14:paraId="07839255" w14:textId="77777777" w:rsidR="00034228" w:rsidRDefault="00000000">
      <w:pPr>
        <w:pStyle w:val="ListParagraph"/>
        <w:numPr>
          <w:ilvl w:val="0"/>
          <w:numId w:val="3"/>
        </w:numPr>
        <w:spacing w:after="60" w:line="264" w:lineRule="auto"/>
      </w:pPr>
      <w:r>
        <w:rPr>
          <w:sz w:val="22"/>
          <w:szCs w:val="22"/>
        </w:rPr>
        <w:t>Contain — immediately stop the exposure (revoke access, disable accounts, isolate the affected system).</w:t>
      </w:r>
    </w:p>
    <w:p w14:paraId="5D918E6F" w14:textId="5FC68CB2" w:rsidR="00034228" w:rsidRDefault="00000000">
      <w:pPr>
        <w:pStyle w:val="ListParagraph"/>
        <w:numPr>
          <w:ilvl w:val="0"/>
          <w:numId w:val="3"/>
        </w:numPr>
        <w:spacing w:after="60" w:line="264" w:lineRule="auto"/>
      </w:pPr>
      <w:r>
        <w:rPr>
          <w:sz w:val="22"/>
          <w:szCs w:val="22"/>
        </w:rPr>
        <w:t xml:space="preserve">Report internally — notify the Security/Privacy Officer </w:t>
      </w:r>
      <w:r w:rsidR="005747A9">
        <w:rPr>
          <w:sz w:val="22"/>
          <w:szCs w:val="22"/>
        </w:rPr>
        <w:t xml:space="preserve">Jonathan Douglass </w:t>
      </w:r>
      <w:r>
        <w:rPr>
          <w:sz w:val="22"/>
          <w:szCs w:val="22"/>
        </w:rPr>
        <w:t>and Compliance J</w:t>
      </w:r>
      <w:r w:rsidR="005747A9">
        <w:rPr>
          <w:sz w:val="22"/>
          <w:szCs w:val="22"/>
        </w:rPr>
        <w:t>onathan Douglass</w:t>
      </w:r>
      <w:r>
        <w:rPr>
          <w:sz w:val="22"/>
          <w:szCs w:val="22"/>
        </w:rPr>
        <w:t xml:space="preserve"> within [24 hours] of discovery.</w:t>
      </w:r>
    </w:p>
    <w:p w14:paraId="34122412" w14:textId="77777777" w:rsidR="00034228" w:rsidRDefault="00000000">
      <w:pPr>
        <w:pStyle w:val="ListParagraph"/>
        <w:numPr>
          <w:ilvl w:val="0"/>
          <w:numId w:val="3"/>
        </w:numPr>
        <w:spacing w:after="60" w:line="264" w:lineRule="auto"/>
      </w:pPr>
      <w:r>
        <w:rPr>
          <w:sz w:val="22"/>
          <w:szCs w:val="22"/>
        </w:rPr>
        <w:t>Assess — conduct a four-factor risk assessment (nature/extent of PHI, who accessed it, whether it was actually acquired/viewed, extent risk is mitigated) and document the findings.</w:t>
      </w:r>
    </w:p>
    <w:p w14:paraId="36FEA806" w14:textId="77777777" w:rsidR="00034228" w:rsidRPr="005747A9" w:rsidRDefault="00000000">
      <w:pPr>
        <w:pStyle w:val="ListParagraph"/>
        <w:numPr>
          <w:ilvl w:val="0"/>
          <w:numId w:val="3"/>
        </w:numPr>
        <w:spacing w:after="60" w:line="264" w:lineRule="auto"/>
        <w:rPr>
          <w:highlight w:val="yellow"/>
        </w:rPr>
      </w:pPr>
      <w:r>
        <w:rPr>
          <w:sz w:val="22"/>
          <w:szCs w:val="22"/>
        </w:rPr>
        <w:t xml:space="preserve">Notify AsherMed — as a business associate, Velacore’s primary legal duty is to notify the covered entity (AsherMed) of the breach without unreasonable delay and no later than 60 calendar days from discovery (45 CFR 164.410), providing the identity of affected individuals and all information AsherMed needs for its own notifications. </w:t>
      </w:r>
      <w:r w:rsidRPr="005747A9">
        <w:rPr>
          <w:sz w:val="22"/>
          <w:szCs w:val="22"/>
          <w:highlight w:val="yellow"/>
        </w:rPr>
        <w:t>[Match the timeline to the AsherMed BAA, which may require faster notice.]</w:t>
      </w:r>
    </w:p>
    <w:p w14:paraId="6280ADB8" w14:textId="77777777" w:rsidR="00034228" w:rsidRDefault="00000000">
      <w:pPr>
        <w:pStyle w:val="ListParagraph"/>
        <w:numPr>
          <w:ilvl w:val="0"/>
          <w:numId w:val="3"/>
        </w:numPr>
        <w:spacing w:after="60" w:line="264" w:lineRule="auto"/>
      </w:pPr>
      <w:r>
        <w:rPr>
          <w:sz w:val="22"/>
          <w:szCs w:val="22"/>
        </w:rPr>
        <w:t>Support AsherMed — AsherMed, as covered entity, is responsible for notifying affected individuals, HHS, and (where applicable) the media under 45 CFR 164.404–408. Velacore cooperates and supplies required information.</w:t>
      </w:r>
    </w:p>
    <w:p w14:paraId="7D9546E1" w14:textId="77777777" w:rsidR="00034228" w:rsidRDefault="00000000">
      <w:pPr>
        <w:pStyle w:val="ListParagraph"/>
        <w:numPr>
          <w:ilvl w:val="0"/>
          <w:numId w:val="3"/>
        </w:numPr>
        <w:spacing w:after="60" w:line="264" w:lineRule="auto"/>
      </w:pPr>
      <w:r>
        <w:rPr>
          <w:sz w:val="22"/>
          <w:szCs w:val="22"/>
        </w:rPr>
        <w:t>Subcontractor breaches — a Velacore subcontractor (e.g., JotForm, Tidio, Airtable, email) must notify Velacore per its subcontractor BAA; Velacore then follows the steps above, including onward notice to AsherMed.</w:t>
      </w:r>
    </w:p>
    <w:p w14:paraId="62CD1A2D" w14:textId="77777777" w:rsidR="00034228" w:rsidRDefault="00000000">
      <w:pPr>
        <w:pStyle w:val="ListParagraph"/>
        <w:numPr>
          <w:ilvl w:val="0"/>
          <w:numId w:val="3"/>
        </w:numPr>
        <w:spacing w:after="60" w:line="264" w:lineRule="auto"/>
      </w:pPr>
      <w:r>
        <w:rPr>
          <w:sz w:val="22"/>
          <w:szCs w:val="22"/>
        </w:rPr>
        <w:t>Document — record the incident, timeline, affected individuals, data elements, assessment, and response in the breach log.</w:t>
      </w:r>
    </w:p>
    <w:p w14:paraId="717214AD" w14:textId="77777777" w:rsidR="00034228" w:rsidRDefault="00000000">
      <w:pPr>
        <w:pStyle w:val="ListParagraph"/>
        <w:numPr>
          <w:ilvl w:val="0"/>
          <w:numId w:val="3"/>
        </w:numPr>
        <w:spacing w:after="60" w:line="264" w:lineRule="auto"/>
      </w:pPr>
      <w:r>
        <w:rPr>
          <w:sz w:val="22"/>
          <w:szCs w:val="22"/>
        </w:rPr>
        <w:t>Remediate — implement corrective actions to prevent recurrence and update this policy/risk assessment.</w:t>
      </w:r>
    </w:p>
    <w:p w14:paraId="40901301" w14:textId="77777777" w:rsidR="00034228" w:rsidRDefault="00000000">
      <w:pPr>
        <w:spacing w:after="120" w:line="276" w:lineRule="auto"/>
      </w:pPr>
      <w:r>
        <w:rPr>
          <w:sz w:val="22"/>
          <w:szCs w:val="22"/>
        </w:rPr>
        <w:t>Breach-notification and documentation records are retained for a minimum of six years.</w:t>
      </w:r>
    </w:p>
    <w:p w14:paraId="7235E567" w14:textId="77777777" w:rsidR="00034228" w:rsidRDefault="00000000">
      <w:pPr>
        <w:pStyle w:val="Heading1"/>
        <w:spacing w:before="320" w:after="140"/>
      </w:pPr>
      <w:r>
        <w:rPr>
          <w:b/>
          <w:bCs/>
          <w:color w:val="1F3A5F"/>
          <w:sz w:val="28"/>
          <w:szCs w:val="28"/>
        </w:rPr>
        <w:t>10. Patient Rights</w:t>
      </w:r>
    </w:p>
    <w:p w14:paraId="18AE8AAB" w14:textId="77777777" w:rsidR="00034228" w:rsidRDefault="00000000">
      <w:pPr>
        <w:pStyle w:val="ListParagraph"/>
        <w:numPr>
          <w:ilvl w:val="0"/>
          <w:numId w:val="2"/>
        </w:numPr>
        <w:spacing w:after="60" w:line="264" w:lineRule="auto"/>
      </w:pPr>
      <w:r>
        <w:rPr>
          <w:sz w:val="22"/>
          <w:szCs w:val="22"/>
        </w:rPr>
        <w:t>Right to access and obtain a copy of their PHI (45 CFR 164.524).</w:t>
      </w:r>
    </w:p>
    <w:p w14:paraId="7B0A8B79" w14:textId="77777777" w:rsidR="00034228" w:rsidRDefault="00000000">
      <w:pPr>
        <w:pStyle w:val="ListParagraph"/>
        <w:numPr>
          <w:ilvl w:val="0"/>
          <w:numId w:val="2"/>
        </w:numPr>
        <w:spacing w:after="60" w:line="264" w:lineRule="auto"/>
      </w:pPr>
      <w:r>
        <w:rPr>
          <w:sz w:val="22"/>
          <w:szCs w:val="22"/>
        </w:rPr>
        <w:t>Right to request amendment of their records (45 CFR 164.526).</w:t>
      </w:r>
    </w:p>
    <w:p w14:paraId="5E959A7D" w14:textId="77777777" w:rsidR="00034228" w:rsidRDefault="00000000">
      <w:pPr>
        <w:pStyle w:val="ListParagraph"/>
        <w:numPr>
          <w:ilvl w:val="0"/>
          <w:numId w:val="2"/>
        </w:numPr>
        <w:spacing w:after="60" w:line="264" w:lineRule="auto"/>
      </w:pPr>
      <w:r>
        <w:rPr>
          <w:sz w:val="22"/>
          <w:szCs w:val="22"/>
        </w:rPr>
        <w:t>Right to an accounting of disclosures (45 CFR 164.528).</w:t>
      </w:r>
    </w:p>
    <w:p w14:paraId="2C549F3A" w14:textId="77777777" w:rsidR="00034228" w:rsidRDefault="00000000">
      <w:pPr>
        <w:pStyle w:val="ListParagraph"/>
        <w:numPr>
          <w:ilvl w:val="0"/>
          <w:numId w:val="2"/>
        </w:numPr>
        <w:spacing w:after="60" w:line="264" w:lineRule="auto"/>
      </w:pPr>
      <w:r>
        <w:rPr>
          <w:sz w:val="22"/>
          <w:szCs w:val="22"/>
        </w:rPr>
        <w:t>Right to request restrictions and confidential communications.</w:t>
      </w:r>
    </w:p>
    <w:p w14:paraId="456D4A8A" w14:textId="77777777" w:rsidR="00034228" w:rsidRDefault="00000000">
      <w:pPr>
        <w:pStyle w:val="ListParagraph"/>
        <w:numPr>
          <w:ilvl w:val="0"/>
          <w:numId w:val="2"/>
        </w:numPr>
        <w:spacing w:after="60" w:line="264" w:lineRule="auto"/>
      </w:pPr>
      <w:r>
        <w:rPr>
          <w:sz w:val="22"/>
          <w:szCs w:val="22"/>
        </w:rPr>
        <w:t>Right to receive the Notice of Privacy Practices.</w:t>
      </w:r>
    </w:p>
    <w:p w14:paraId="0CD15B24" w14:textId="77777777" w:rsidR="00034228" w:rsidRDefault="00000000">
      <w:pPr>
        <w:pStyle w:val="Heading1"/>
        <w:spacing w:before="320" w:after="140"/>
      </w:pPr>
      <w:r>
        <w:rPr>
          <w:b/>
          <w:bCs/>
          <w:color w:val="1F3A5F"/>
          <w:sz w:val="28"/>
          <w:szCs w:val="28"/>
        </w:rPr>
        <w:t>11. Enforcement &amp; Review</w:t>
      </w:r>
    </w:p>
    <w:p w14:paraId="56A220BC" w14:textId="77777777" w:rsidR="00034228" w:rsidRDefault="00000000">
      <w:pPr>
        <w:spacing w:after="120" w:line="276" w:lineRule="auto"/>
      </w:pPr>
      <w:r>
        <w:rPr>
          <w:sz w:val="22"/>
          <w:szCs w:val="22"/>
        </w:rPr>
        <w:lastRenderedPageBreak/>
        <w:t>Violations are subject to the sanctions policy up to termination of employment or contract. This policy is reviewed at least annually and upon any material change to law, vendors, or workflow. Review and approval are documented in the control block above.</w:t>
      </w:r>
    </w:p>
    <w:p w14:paraId="24CEB007" w14:textId="77777777" w:rsidR="00034228" w:rsidRDefault="00034228">
      <w:pPr>
        <w:pBdr>
          <w:bottom w:val="single" w:sz="6" w:space="1" w:color="2E6E8E"/>
        </w:pBdr>
        <w:spacing w:after="120"/>
      </w:pPr>
    </w:p>
    <w:p w14:paraId="2843CD51" w14:textId="39CB05CF" w:rsidR="00034228" w:rsidRDefault="00000000">
      <w:pPr>
        <w:spacing w:before="200"/>
      </w:pPr>
      <w:r>
        <w:t>Approved by (</w:t>
      </w:r>
      <w:r w:rsidR="005747A9">
        <w:t>Asher Med</w:t>
      </w:r>
      <w:r>
        <w:t>): _______________________________   Date: ____________</w:t>
      </w:r>
    </w:p>
    <w:p w14:paraId="4C286EEC" w14:textId="252C78F9" w:rsidR="00034228" w:rsidRDefault="00000000">
      <w:pPr>
        <w:spacing w:before="160"/>
      </w:pPr>
      <w:r>
        <w:t>Approved by (Compliance/Operations): __</w:t>
      </w:r>
      <w:r w:rsidR="005747A9">
        <w:t>Joanthan Douglass</w:t>
      </w:r>
      <w:r>
        <w:t>___   Date: ____________</w:t>
      </w:r>
    </w:p>
    <w:sectPr w:rsidR="00034228">
      <w:headerReference w:type="default" r:id="rId13"/>
      <w:footerReference w:type="default" r:id="rId1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Theresa Douglass" w:date="2026-07-20T19:47:00Z" w:initials="TD">
    <w:p w14:paraId="51A81392" w14:textId="77777777" w:rsidR="003F568A" w:rsidRDefault="003F568A" w:rsidP="003F568A">
      <w:r>
        <w:rPr>
          <w:rStyle w:val="CommentReference"/>
        </w:rPr>
        <w:annotationRef/>
      </w:r>
      <w:r>
        <w:t xml:space="preserve">Do we need Tidio? is it HIPAA certified? Are we actually going to have PHI in emails? it should not be, should only be in the portal or within Jotform. </w:t>
      </w:r>
    </w:p>
    <w:p w14:paraId="5A06613E" w14:textId="77777777" w:rsidR="003F568A" w:rsidRDefault="003F568A" w:rsidP="003F568A"/>
  </w:comment>
  <w:comment w:id="1" w:author="Theresa Douglass" w:date="2026-07-20T19:53:00Z" w:initials="TD">
    <w:p w14:paraId="39550AFB" w14:textId="77777777" w:rsidR="003F568A" w:rsidRDefault="003F568A" w:rsidP="003F568A">
      <w:r>
        <w:rPr>
          <w:rStyle w:val="CommentReference"/>
        </w:rPr>
        <w:annotationRef/>
      </w:r>
      <w:r>
        <w:t xml:space="preserve">Are we using this? </w:t>
      </w:r>
    </w:p>
    <w:p w14:paraId="7AA52320" w14:textId="77777777" w:rsidR="003F568A" w:rsidRDefault="003F568A" w:rsidP="003F568A"/>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A06613E" w15:done="0"/>
  <w15:commentEx w15:paraId="7AA523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F5072CC" w16cex:dateUtc="2026-07-21T00:47:00Z"/>
  <w16cex:commentExtensible w16cex:durableId="46BB3DC7" w16cex:dateUtc="2026-07-21T0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A06613E" w16cid:durableId="6F5072CC"/>
  <w16cid:commentId w16cid:paraId="7AA52320" w16cid:durableId="46BB3D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78E4FE" w14:textId="77777777" w:rsidR="00044505" w:rsidRDefault="00044505">
      <w:r>
        <w:separator/>
      </w:r>
    </w:p>
  </w:endnote>
  <w:endnote w:type="continuationSeparator" w:id="0">
    <w:p w14:paraId="1BF60DF4" w14:textId="77777777" w:rsidR="00044505" w:rsidRDefault="00044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3ABE5" w14:textId="77777777" w:rsidR="00034228" w:rsidRDefault="00000000">
    <w:pPr>
      <w:pBdr>
        <w:top w:val="single" w:sz="4" w:space="4" w:color="CCCCCC"/>
      </w:pBdr>
      <w:jc w:val="center"/>
    </w:pPr>
    <w:r>
      <w:rPr>
        <w:color w:val="666666"/>
        <w:sz w:val="16"/>
        <w:szCs w:val="16"/>
      </w:rPr>
      <w:t xml:space="preserve">CONFIDENTIAL — Internal Use Only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D6A2A">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D6A2A">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D8B4B9" w14:textId="77777777" w:rsidR="00044505" w:rsidRDefault="00044505">
      <w:r>
        <w:separator/>
      </w:r>
    </w:p>
  </w:footnote>
  <w:footnote w:type="continuationSeparator" w:id="0">
    <w:p w14:paraId="20CADC8B" w14:textId="77777777" w:rsidR="00044505" w:rsidRDefault="00044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31A0F" w14:textId="77777777" w:rsidR="00034228" w:rsidRDefault="00000000">
    <w:pPr>
      <w:pBdr>
        <w:bottom w:val="single" w:sz="4" w:space="4" w:color="CCCCCC"/>
      </w:pBdr>
      <w:jc w:val="right"/>
    </w:pPr>
    <w:r>
      <w:rPr>
        <w:color w:val="666666"/>
        <w:sz w:val="16"/>
        <w:szCs w:val="16"/>
      </w:rPr>
      <w:t>Velacore Health  |  SOP-01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E2293"/>
    <w:multiLevelType w:val="hybridMultilevel"/>
    <w:tmpl w:val="27D8F814"/>
    <w:lvl w:ilvl="0" w:tplc="BFE656A4">
      <w:start w:val="1"/>
      <w:numFmt w:val="bullet"/>
      <w:lvlText w:val="●"/>
      <w:lvlJc w:val="left"/>
      <w:pPr>
        <w:ind w:left="720" w:hanging="360"/>
      </w:pPr>
    </w:lvl>
    <w:lvl w:ilvl="1" w:tplc="339E9D00">
      <w:start w:val="1"/>
      <w:numFmt w:val="bullet"/>
      <w:lvlText w:val="○"/>
      <w:lvlJc w:val="left"/>
      <w:pPr>
        <w:ind w:left="1440" w:hanging="360"/>
      </w:pPr>
    </w:lvl>
    <w:lvl w:ilvl="2" w:tplc="BA28275E">
      <w:start w:val="1"/>
      <w:numFmt w:val="bullet"/>
      <w:lvlText w:val="■"/>
      <w:lvlJc w:val="left"/>
      <w:pPr>
        <w:ind w:left="2160" w:hanging="360"/>
      </w:pPr>
    </w:lvl>
    <w:lvl w:ilvl="3" w:tplc="837CB3BC">
      <w:start w:val="1"/>
      <w:numFmt w:val="bullet"/>
      <w:lvlText w:val="●"/>
      <w:lvlJc w:val="left"/>
      <w:pPr>
        <w:ind w:left="2880" w:hanging="360"/>
      </w:pPr>
    </w:lvl>
    <w:lvl w:ilvl="4" w:tplc="DBFE32A6">
      <w:start w:val="1"/>
      <w:numFmt w:val="bullet"/>
      <w:lvlText w:val="○"/>
      <w:lvlJc w:val="left"/>
      <w:pPr>
        <w:ind w:left="3600" w:hanging="360"/>
      </w:pPr>
    </w:lvl>
    <w:lvl w:ilvl="5" w:tplc="8C60AE36">
      <w:start w:val="1"/>
      <w:numFmt w:val="bullet"/>
      <w:lvlText w:val="■"/>
      <w:lvlJc w:val="left"/>
      <w:pPr>
        <w:ind w:left="4320" w:hanging="360"/>
      </w:pPr>
    </w:lvl>
    <w:lvl w:ilvl="6" w:tplc="BD02901E">
      <w:start w:val="1"/>
      <w:numFmt w:val="bullet"/>
      <w:lvlText w:val="●"/>
      <w:lvlJc w:val="left"/>
      <w:pPr>
        <w:ind w:left="5040" w:hanging="360"/>
      </w:pPr>
    </w:lvl>
    <w:lvl w:ilvl="7" w:tplc="6F1ABB30">
      <w:start w:val="1"/>
      <w:numFmt w:val="bullet"/>
      <w:lvlText w:val="●"/>
      <w:lvlJc w:val="left"/>
      <w:pPr>
        <w:ind w:left="5760" w:hanging="360"/>
      </w:pPr>
    </w:lvl>
    <w:lvl w:ilvl="8" w:tplc="D4D68F8E">
      <w:start w:val="1"/>
      <w:numFmt w:val="bullet"/>
      <w:lvlText w:val="●"/>
      <w:lvlJc w:val="left"/>
      <w:pPr>
        <w:ind w:left="6480" w:hanging="360"/>
      </w:pPr>
    </w:lvl>
  </w:abstractNum>
  <w:abstractNum w:abstractNumId="1" w15:restartNumberingAfterBreak="0">
    <w:nsid w:val="1E4449A8"/>
    <w:multiLevelType w:val="hybridMultilevel"/>
    <w:tmpl w:val="EA38E50E"/>
    <w:lvl w:ilvl="0" w:tplc="0C9C0A14">
      <w:start w:val="1"/>
      <w:numFmt w:val="decimal"/>
      <w:lvlText w:val="%1."/>
      <w:lvlJc w:val="left"/>
      <w:pPr>
        <w:ind w:left="460" w:hanging="260"/>
      </w:pPr>
    </w:lvl>
    <w:lvl w:ilvl="1" w:tplc="14AA344A">
      <w:start w:val="1"/>
      <w:numFmt w:val="lowerLetter"/>
      <w:lvlText w:val="%2."/>
      <w:lvlJc w:val="left"/>
      <w:pPr>
        <w:ind w:left="920" w:hanging="260"/>
      </w:pPr>
    </w:lvl>
    <w:lvl w:ilvl="2" w:tplc="746E1460">
      <w:numFmt w:val="decimal"/>
      <w:lvlText w:val=""/>
      <w:lvlJc w:val="left"/>
    </w:lvl>
    <w:lvl w:ilvl="3" w:tplc="F5682EAA">
      <w:numFmt w:val="decimal"/>
      <w:lvlText w:val=""/>
      <w:lvlJc w:val="left"/>
    </w:lvl>
    <w:lvl w:ilvl="4" w:tplc="93F2558C">
      <w:numFmt w:val="decimal"/>
      <w:lvlText w:val=""/>
      <w:lvlJc w:val="left"/>
    </w:lvl>
    <w:lvl w:ilvl="5" w:tplc="2C6EE378">
      <w:numFmt w:val="decimal"/>
      <w:lvlText w:val=""/>
      <w:lvlJc w:val="left"/>
    </w:lvl>
    <w:lvl w:ilvl="6" w:tplc="1AF2136E">
      <w:numFmt w:val="decimal"/>
      <w:lvlText w:val=""/>
      <w:lvlJc w:val="left"/>
    </w:lvl>
    <w:lvl w:ilvl="7" w:tplc="ADD8E08E">
      <w:numFmt w:val="decimal"/>
      <w:lvlText w:val=""/>
      <w:lvlJc w:val="left"/>
    </w:lvl>
    <w:lvl w:ilvl="8" w:tplc="510A4E60">
      <w:numFmt w:val="decimal"/>
      <w:lvlText w:val=""/>
      <w:lvlJc w:val="left"/>
    </w:lvl>
  </w:abstractNum>
  <w:abstractNum w:abstractNumId="2" w15:restartNumberingAfterBreak="0">
    <w:nsid w:val="31A96A41"/>
    <w:multiLevelType w:val="hybridMultilevel"/>
    <w:tmpl w:val="16A6237E"/>
    <w:lvl w:ilvl="0" w:tplc="1F685DD8">
      <w:start w:val="1"/>
      <w:numFmt w:val="bullet"/>
      <w:lvlText w:val="•"/>
      <w:lvlJc w:val="left"/>
      <w:pPr>
        <w:ind w:left="460" w:hanging="260"/>
      </w:pPr>
    </w:lvl>
    <w:lvl w:ilvl="1" w:tplc="85FC9310">
      <w:start w:val="1"/>
      <w:numFmt w:val="bullet"/>
      <w:lvlText w:val="◦"/>
      <w:lvlJc w:val="left"/>
      <w:pPr>
        <w:ind w:left="920" w:hanging="260"/>
      </w:pPr>
    </w:lvl>
    <w:lvl w:ilvl="2" w:tplc="6F16FF94">
      <w:numFmt w:val="decimal"/>
      <w:lvlText w:val=""/>
      <w:lvlJc w:val="left"/>
    </w:lvl>
    <w:lvl w:ilvl="3" w:tplc="68C00304">
      <w:numFmt w:val="decimal"/>
      <w:lvlText w:val=""/>
      <w:lvlJc w:val="left"/>
    </w:lvl>
    <w:lvl w:ilvl="4" w:tplc="1C04342C">
      <w:numFmt w:val="decimal"/>
      <w:lvlText w:val=""/>
      <w:lvlJc w:val="left"/>
    </w:lvl>
    <w:lvl w:ilvl="5" w:tplc="FD20588E">
      <w:numFmt w:val="decimal"/>
      <w:lvlText w:val=""/>
      <w:lvlJc w:val="left"/>
    </w:lvl>
    <w:lvl w:ilvl="6" w:tplc="A7249482">
      <w:numFmt w:val="decimal"/>
      <w:lvlText w:val=""/>
      <w:lvlJc w:val="left"/>
    </w:lvl>
    <w:lvl w:ilvl="7" w:tplc="EC446E3A">
      <w:numFmt w:val="decimal"/>
      <w:lvlText w:val=""/>
      <w:lvlJc w:val="left"/>
    </w:lvl>
    <w:lvl w:ilvl="8" w:tplc="45C4FCBC">
      <w:numFmt w:val="decimal"/>
      <w:lvlText w:val=""/>
      <w:lvlJc w:val="left"/>
    </w:lvl>
  </w:abstractNum>
  <w:abstractNum w:abstractNumId="3" w15:restartNumberingAfterBreak="0">
    <w:nsid w:val="54993619"/>
    <w:multiLevelType w:val="multilevel"/>
    <w:tmpl w:val="190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409081">
    <w:abstractNumId w:val="0"/>
    <w:lvlOverride w:ilvl="0">
      <w:startOverride w:val="1"/>
    </w:lvlOverride>
  </w:num>
  <w:num w:numId="2" w16cid:durableId="1563565255">
    <w:abstractNumId w:val="2"/>
    <w:lvlOverride w:ilvl="0">
      <w:startOverride w:val="1"/>
    </w:lvlOverride>
  </w:num>
  <w:num w:numId="3" w16cid:durableId="1355224783">
    <w:abstractNumId w:val="1"/>
    <w:lvlOverride w:ilvl="0">
      <w:startOverride w:val="1"/>
    </w:lvlOverride>
  </w:num>
  <w:num w:numId="4" w16cid:durableId="127640565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eresa Douglass">
    <w15:presenceInfo w15:providerId="Windows Live" w15:userId="bd224ea5a716644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228"/>
    <w:rsid w:val="00034228"/>
    <w:rsid w:val="00044505"/>
    <w:rsid w:val="002D6A2A"/>
    <w:rsid w:val="003069A5"/>
    <w:rsid w:val="00376117"/>
    <w:rsid w:val="003F568A"/>
    <w:rsid w:val="005747A9"/>
    <w:rsid w:val="009E6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2CFCD"/>
  <w15:docId w15:val="{A6E9063B-F963-824D-B9C0-4E60F5C5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F568A"/>
    <w:rPr>
      <w:sz w:val="16"/>
      <w:szCs w:val="16"/>
    </w:rPr>
  </w:style>
  <w:style w:type="paragraph" w:styleId="CommentText">
    <w:name w:val="annotation text"/>
    <w:basedOn w:val="Normal"/>
    <w:link w:val="CommentTextChar"/>
    <w:uiPriority w:val="99"/>
    <w:semiHidden/>
    <w:unhideWhenUsed/>
    <w:rsid w:val="003F568A"/>
  </w:style>
  <w:style w:type="character" w:customStyle="1" w:styleId="CommentTextChar">
    <w:name w:val="Comment Text Char"/>
    <w:basedOn w:val="DefaultParagraphFont"/>
    <w:link w:val="CommentText"/>
    <w:uiPriority w:val="99"/>
    <w:semiHidden/>
    <w:rsid w:val="003F568A"/>
  </w:style>
  <w:style w:type="paragraph" w:styleId="CommentSubject">
    <w:name w:val="annotation subject"/>
    <w:basedOn w:val="CommentText"/>
    <w:next w:val="CommentText"/>
    <w:link w:val="CommentSubjectChar"/>
    <w:uiPriority w:val="99"/>
    <w:semiHidden/>
    <w:unhideWhenUsed/>
    <w:rsid w:val="003F568A"/>
    <w:rPr>
      <w:b/>
      <w:bCs/>
    </w:rPr>
  </w:style>
  <w:style w:type="character" w:customStyle="1" w:styleId="CommentSubjectChar">
    <w:name w:val="Comment Subject Char"/>
    <w:basedOn w:val="CommentTextChar"/>
    <w:link w:val="CommentSubject"/>
    <w:uiPriority w:val="99"/>
    <w:semiHidden/>
    <w:rsid w:val="003F568A"/>
    <w:rPr>
      <w:b/>
      <w:bCs/>
    </w:rPr>
  </w:style>
  <w:style w:type="character" w:styleId="UnresolvedMention">
    <w:name w:val="Unresolved Mention"/>
    <w:basedOn w:val="DefaultParagraphFont"/>
    <w:uiPriority w:val="99"/>
    <w:semiHidden/>
    <w:unhideWhenUsed/>
    <w:rsid w:val="003F5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0iW0-6AACrJ8YajDLvv5gGpjPM9aLcJ5?usp=drive_link"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document/d/1FrUHGElCzkNqT9G-AKrLUJ2k78Cr8gaz/edit?usp=drive_link&amp;ouid=111493142346765628822&amp;rtpof=true&amp;sd=true" TargetMode="Externa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2135</Words>
  <Characters>10954</Characters>
  <Application>Microsoft Office Word</Application>
  <DocSecurity>0</DocSecurity>
  <Lines>608</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Theresa Douglass</cp:lastModifiedBy>
  <cp:revision>3</cp:revision>
  <dcterms:created xsi:type="dcterms:W3CDTF">2026-07-21T00:18:00Z</dcterms:created>
  <dcterms:modified xsi:type="dcterms:W3CDTF">2026-07-21T00:57:00Z</dcterms:modified>
</cp:coreProperties>
</file>