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937"/>
          <w:sz w:val="32"/>
          <w:szCs w:val="32"/>
        </w:rPr>
        <w:t xml:space="preserve">VELACORE HEALTH</w:t>
      </w:r>
    </w:p>
    <w:p>
      <w:pPr>
        <w:spacing w:after="40"/>
        <w:jc w:val="center"/>
      </w:pPr>
      <w:r>
        <w:rPr>
          <w:color w:val="555555"/>
          <w:sz w:val="24"/>
          <w:szCs w:val="24"/>
        </w:rPr>
        <w:t xml:space="preserve">Standard Operating Procedure</w:t>
      </w:r>
    </w:p>
    <w:p>
      <w:pPr>
        <w:spacing w:after="40"/>
        <w:jc w:val="center"/>
      </w:pPr>
      <w:r>
        <w:rPr>
          <w:b/>
          <w:bCs/>
          <w:color w:val="0C8F72"/>
          <w:sz w:val="26"/>
          <w:szCs w:val="26"/>
        </w:rPr>
        <w:t xml:space="preserve">SOP-04</w:t>
      </w:r>
    </w:p>
    <w:p>
      <w:pPr>
        <w:spacing w:after="200"/>
        <w:jc w:val="center"/>
      </w:pPr>
      <w:r>
        <w:rPr>
          <w:b/>
          <w:bCs/>
          <w:color w:val="1F2937"/>
          <w:sz w:val="30"/>
          <w:szCs w:val="30"/>
        </w:rPr>
        <w:t xml:space="preserve">Patient Complaint Procedure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E8F2EF" w:val="clear"/>
            <w:tcMar>
              <w:top w:type="dxa" w:w="60"/>
              <w:left w:type="dxa" w:w="100"/>
              <w:bottom w:type="dxa" w:w="60"/>
              <w:right w:type="dxa" w:w="100"/>
            </w:tcMar>
          </w:tcPr>
          <w:p>
            <w:r>
              <w:rPr>
                <w:b/>
                <w:bCs/>
                <w:sz w:val="20"/>
                <w:szCs w:val="20"/>
              </w:rPr>
              <w:t xml:space="preserve">Document Owner</w:t>
            </w:r>
          </w:p>
        </w:tc>
        <w:tc>
          <w:tcPr>
            <w:tcW w:type="dxa" w:w="6000"/>
            <w:shd w:fill="E8F2EF" w:val="clear"/>
            <w:tcMar>
              <w:top w:type="dxa" w:w="60"/>
              <w:left w:type="dxa" w:w="100"/>
              <w:bottom w:type="dxa" w:w="60"/>
              <w:right w:type="dxa" w:w="100"/>
            </w:tcMar>
          </w:tcPr>
          <w:p>
            <w:r>
              <w:rPr>
                <w:b/>
                <w:bCs/>
                <w:sz w:val="20"/>
                <w:szCs w:val="20"/>
              </w:rPr>
              <w:t xml:space="preserve">[Jonathan Douglass - Compliance &amp; Operations]</w:t>
            </w:r>
          </w:p>
        </w:tc>
      </w:tr>
      <w:tr>
        <w:tc>
          <w:tcPr>
            <w:tcW w:type="dxa" w:w="3200"/>
            <w:tcMar>
              <w:top w:type="dxa" w:w="60"/>
              <w:left w:type="dxa" w:w="100"/>
              <w:bottom w:type="dxa" w:w="60"/>
              <w:right w:type="dxa" w:w="100"/>
            </w:tcMar>
          </w:tcPr>
          <w:p>
            <w:r>
              <w:rPr>
                <w:b w:val="false"/>
                <w:bCs w:val="false"/>
                <w:sz w:val="20"/>
                <w:szCs w:val="20"/>
              </w:rPr>
              <w:t xml:space="preserve">Clinical Authority</w:t>
            </w:r>
          </w:p>
        </w:tc>
        <w:tc>
          <w:tcPr>
            <w:tcW w:type="dxa" w:w="6000"/>
            <w:tcMar>
              <w:top w:type="dxa" w:w="60"/>
              <w:left w:type="dxa" w:w="100"/>
              <w:bottom w:type="dxa" w:w="60"/>
              <w:right w:type="dxa" w:w="100"/>
            </w:tcMar>
          </w:tcPr>
          <w:p>
            <w:r>
              <w:rPr>
                <w:b w:val="false"/>
                <w:bCs w:val="false"/>
                <w:sz w:val="20"/>
                <w:szCs w:val="20"/>
              </w:rPr>
              <w:t xml:space="preserve">[Asher Medical - Dr. Crystal Broussard MD]</w:t>
            </w:r>
          </w:p>
        </w:tc>
      </w:tr>
      <w:tr>
        <w:tc>
          <w:tcPr>
            <w:tcW w:type="dxa" w:w="3200"/>
            <w:tcMar>
              <w:top w:type="dxa" w:w="60"/>
              <w:left w:type="dxa" w:w="100"/>
              <w:bottom w:type="dxa" w:w="60"/>
              <w:right w:type="dxa" w:w="100"/>
            </w:tcMar>
          </w:tcPr>
          <w:p>
            <w:r>
              <w:rPr>
                <w:b w:val="false"/>
                <w:bCs w:val="false"/>
                <w:sz w:val="20"/>
                <w:szCs w:val="20"/>
              </w:rPr>
              <w:t xml:space="preserve">Effective Date</w:t>
            </w:r>
          </w:p>
        </w:tc>
        <w:tc>
          <w:tcPr>
            <w:tcW w:type="dxa" w:w="6000"/>
            <w:tcMar>
              <w:top w:type="dxa" w:w="60"/>
              <w:left w:type="dxa" w:w="100"/>
              <w:bottom w:type="dxa" w:w="60"/>
              <w:right w:type="dxa" w:w="100"/>
            </w:tcMar>
          </w:tcPr>
          <w:p>
            <w:r>
              <w:rPr>
                <w:b w:val="false"/>
                <w:bCs w:val="false"/>
                <w:sz w:val="20"/>
                <w:szCs w:val="20"/>
              </w:rPr>
              <w:t xml:space="preserve">[__/__/2026]</w:t>
            </w:r>
          </w:p>
        </w:tc>
      </w:tr>
      <w:tr>
        <w:tc>
          <w:tcPr>
            <w:tcW w:type="dxa" w:w="3200"/>
            <w:tcMar>
              <w:top w:type="dxa" w:w="60"/>
              <w:left w:type="dxa" w:w="100"/>
              <w:bottom w:type="dxa" w:w="60"/>
              <w:right w:type="dxa" w:w="100"/>
            </w:tcMar>
          </w:tcPr>
          <w:p>
            <w:r>
              <w:rPr>
                <w:b w:val="false"/>
                <w:bCs w:val="false"/>
                <w:sz w:val="20"/>
                <w:szCs w:val="20"/>
              </w:rPr>
              <w:t xml:space="preserve">Version</w:t>
            </w:r>
          </w:p>
        </w:tc>
        <w:tc>
          <w:tcPr>
            <w:tcW w:type="dxa" w:w="6000"/>
            <w:tcMar>
              <w:top w:type="dxa" w:w="60"/>
              <w:left w:type="dxa" w:w="100"/>
              <w:bottom w:type="dxa" w:w="60"/>
              <w:right w:type="dxa" w:w="100"/>
            </w:tcMar>
          </w:tcPr>
          <w:p>
            <w:r>
              <w:rPr>
                <w:b w:val="false"/>
                <w:bCs w:val="false"/>
                <w:sz w:val="20"/>
                <w:szCs w:val="20"/>
              </w:rPr>
              <w:t xml:space="preserve">1.0 (draft for review)</w:t>
            </w:r>
          </w:p>
        </w:tc>
      </w:tr>
      <w:tr>
        <w:tc>
          <w:tcPr>
            <w:tcW w:type="dxa" w:w="3200"/>
            <w:tcMar>
              <w:top w:type="dxa" w:w="60"/>
              <w:left w:type="dxa" w:w="100"/>
              <w:bottom w:type="dxa" w:w="60"/>
              <w:right w:type="dxa" w:w="100"/>
            </w:tcMar>
          </w:tcPr>
          <w:p>
            <w:r>
              <w:rPr>
                <w:b w:val="false"/>
                <w:bCs w:val="false"/>
                <w:sz w:val="20"/>
                <w:szCs w:val="20"/>
              </w:rPr>
              <w:t xml:space="preserve">Review Cycle</w:t>
            </w:r>
          </w:p>
        </w:tc>
        <w:tc>
          <w:tcPr>
            <w:tcW w:type="dxa" w:w="6000"/>
            <w:tcMar>
              <w:top w:type="dxa" w:w="60"/>
              <w:left w:type="dxa" w:w="100"/>
              <w:bottom w:type="dxa" w:w="60"/>
              <w:right w:type="dxa" w:w="100"/>
            </w:tcMar>
          </w:tcPr>
          <w:p>
            <w:r>
              <w:rPr>
                <w:b w:val="false"/>
                <w:bCs w:val="false"/>
                <w:sz w:val="20"/>
                <w:szCs w:val="20"/>
              </w:rPr>
              <w:t xml:space="preserve">Annual, or upon material change to vendors, law, or workflow</w:t>
            </w:r>
          </w:p>
        </w:tc>
      </w:tr>
      <w:tr>
        <w:tc>
          <w:tcPr>
            <w:tcW w:type="dxa" w:w="3200"/>
            <w:tcMar>
              <w:top w:type="dxa" w:w="60"/>
              <w:left w:type="dxa" w:w="100"/>
              <w:bottom w:type="dxa" w:w="60"/>
              <w:right w:type="dxa" w:w="100"/>
            </w:tcMar>
          </w:tcPr>
          <w:p>
            <w:r>
              <w:rPr>
                <w:b w:val="false"/>
                <w:bCs w:val="false"/>
                <w:sz w:val="20"/>
                <w:szCs w:val="20"/>
              </w:rPr>
              <w:t xml:space="preserve">Last Reviewed</w:t>
            </w:r>
          </w:p>
        </w:tc>
        <w:tc>
          <w:tcPr>
            <w:tcW w:type="dxa" w:w="6000"/>
            <w:tcMar>
              <w:top w:type="dxa" w:w="60"/>
              <w:left w:type="dxa" w:w="100"/>
              <w:bottom w:type="dxa" w:w="60"/>
              <w:right w:type="dxa" w:w="100"/>
            </w:tcMar>
          </w:tcPr>
          <w:p>
            <w:r>
              <w:rPr>
                <w:b w:val="false"/>
                <w:bCs w:val="false"/>
                <w:sz w:val="20"/>
                <w:szCs w:val="20"/>
              </w:rPr>
              <w:t xml:space="preserve">[07/23/2026]</w:t>
            </w:r>
          </w:p>
        </w:tc>
      </w:tr>
    </w:tbl>
    <w:p>
      <w:pPr>
        <w:pStyle w:val="Heading1"/>
        <w:spacing w:after="120" w:before="280"/>
      </w:pPr>
      <w:r>
        <w:rPr>
          <w:b/>
          <w:bCs/>
          <w:color w:val="1F2937"/>
          <w:sz w:val="26"/>
          <w:szCs w:val="26"/>
        </w:rPr>
        <w:t xml:space="preserve">1. Purpose</w:t>
      </w:r>
    </w:p>
    <w:p>
      <w:pPr>
        <w:spacing w:after="120"/>
      </w:pPr>
      <w:r>
        <w:rPr>
          <w:sz w:val="22"/>
          <w:szCs w:val="22"/>
        </w:rPr>
        <w:t xml:space="preserve">This policy defines how Velacore Health receives, logs, triages, resolves, and documents patient complaints, refund requests, and reported adverse events, including escalation to the AsherMed partner physician. It ensures every patient concern receives a timely, documented response and supports LegitScript certification.</w:t>
      </w:r>
    </w:p>
    <w:p>
      <w:pPr>
        <w:pStyle w:val="Heading1"/>
        <w:spacing w:after="120" w:before="280"/>
      </w:pPr>
      <w:r>
        <w:rPr>
          <w:b/>
          <w:bCs/>
          <w:color w:val="1F2937"/>
          <w:sz w:val="26"/>
          <w:szCs w:val="26"/>
        </w:rPr>
        <w:t xml:space="preserve">2. Scope</w:t>
      </w:r>
    </w:p>
    <w:p>
      <w:pPr>
        <w:spacing w:after="120"/>
      </w:pPr>
      <w:r>
        <w:rPr>
          <w:sz w:val="22"/>
          <w:szCs w:val="22"/>
        </w:rPr>
        <w:t xml:space="preserve">Applies to all patient-facing personnel and channels: email (hello@velacorehealth.com), website chat, phone, and any complaint received through AsherMed or the pharmacy and referred to Velacore.</w:t>
      </w:r>
    </w:p>
    <w:p>
      <w:pPr>
        <w:pStyle w:val="Heading1"/>
        <w:spacing w:after="120" w:before="280"/>
      </w:pPr>
      <w:r>
        <w:rPr>
          <w:b/>
          <w:bCs/>
          <w:color w:val="1F2937"/>
          <w:sz w:val="26"/>
          <w:szCs w:val="26"/>
        </w:rPr>
        <w:t xml:space="preserve">3. Definitions</w:t>
      </w:r>
    </w:p>
    <w:p>
      <w:pPr>
        <w:pStyle w:val="ListParagraph"/>
        <w:numPr>
          <w:ilvl w:val="0"/>
          <w:numId w:val="2"/>
        </w:numPr>
        <w:spacing w:after="80"/>
      </w:pPr>
      <w:r>
        <w:rPr>
          <w:sz w:val="22"/>
          <w:szCs w:val="22"/>
        </w:rPr>
        <w:t xml:space="preserve">Complaint — any expression of dissatisfaction with the service, platform, billing, shipping, or communications.</w:t>
      </w:r>
    </w:p>
    <w:p>
      <w:pPr>
        <w:pStyle w:val="ListParagraph"/>
        <w:numPr>
          <w:ilvl w:val="0"/>
          <w:numId w:val="2"/>
        </w:numPr>
        <w:spacing w:after="80"/>
      </w:pPr>
      <w:r>
        <w:rPr>
          <w:sz w:val="22"/>
          <w:szCs w:val="22"/>
        </w:rPr>
        <w:t xml:space="preserve">Refund request — a request for money back, governed by the published Refund Policy.</w:t>
      </w:r>
    </w:p>
    <w:p>
      <w:pPr>
        <w:pStyle w:val="ListParagraph"/>
        <w:numPr>
          <w:ilvl w:val="0"/>
          <w:numId w:val="2"/>
        </w:numPr>
        <w:spacing w:after="80"/>
      </w:pPr>
      <w:r>
        <w:rPr>
          <w:sz w:val="22"/>
          <w:szCs w:val="22"/>
        </w:rPr>
        <w:t xml:space="preserve">Adverse event — any unexpected symptom, side effect, or injury a patient associates with a prescribed medication. Adverse events follow Section 6 and SOP-05 in addition to this policy.</w:t>
      </w:r>
    </w:p>
    <w:p>
      <w:pPr>
        <w:pStyle w:val="Heading1"/>
        <w:spacing w:after="120" w:before="280"/>
      </w:pPr>
      <w:r>
        <w:rPr>
          <w:b/>
          <w:bCs/>
          <w:color w:val="1F2937"/>
          <w:sz w:val="26"/>
          <w:szCs w:val="26"/>
        </w:rPr>
        <w:t xml:space="preserve">4. Intake &amp; Logging</w:t>
      </w:r>
    </w:p>
    <w:p>
      <w:pPr>
        <w:pStyle w:val="ListParagraph"/>
        <w:numPr>
          <w:ilvl w:val="0"/>
          <w:numId w:val="2"/>
        </w:numPr>
        <w:spacing w:after="80"/>
      </w:pPr>
      <w:r>
        <w:rPr>
          <w:sz w:val="22"/>
          <w:szCs w:val="22"/>
        </w:rPr>
        <w:t xml:space="preserve">Every complaint is logged in the complaint log (Airtable) on the day received: date, patient, channel, category (billing / shipping / service / clinical / adverse event / refund), description, owner, and status.</w:t>
      </w:r>
    </w:p>
    <w:p>
      <w:pPr>
        <w:pStyle w:val="ListParagraph"/>
        <w:numPr>
          <w:ilvl w:val="0"/>
          <w:numId w:val="2"/>
        </w:numPr>
        <w:spacing w:after="80"/>
      </w:pPr>
      <w:r>
        <w:rPr>
          <w:sz w:val="22"/>
          <w:szCs w:val="22"/>
        </w:rPr>
        <w:t xml:space="preserve">Log entries reference the patient record but keep PHI to the minimum necessary (SOP-01).</w:t>
      </w:r>
    </w:p>
    <w:p>
      <w:pPr>
        <w:pStyle w:val="Heading1"/>
        <w:spacing w:after="120" w:before="280"/>
      </w:pPr>
      <w:r>
        <w:rPr>
          <w:b/>
          <w:bCs/>
          <w:color w:val="1F2937"/>
          <w:sz w:val="26"/>
          <w:szCs w:val="26"/>
        </w:rPr>
        <w:t xml:space="preserve">5. Triage, Timelines &amp; Resolution</w:t>
      </w:r>
    </w:p>
    <w:p>
      <w:pPr>
        <w:pStyle w:val="ListParagraph"/>
        <w:numPr>
          <w:ilvl w:val="0"/>
          <w:numId w:val="2"/>
        </w:numPr>
        <w:spacing w:after="80"/>
      </w:pPr>
      <w:r>
        <w:rPr>
          <w:sz w:val="22"/>
          <w:szCs w:val="22"/>
        </w:rPr>
        <w:t xml:space="preserve">Acknowledge every complaint within 1 business day.</w:t>
      </w:r>
    </w:p>
    <w:p>
      <w:pPr>
        <w:pStyle w:val="ListParagraph"/>
        <w:numPr>
          <w:ilvl w:val="0"/>
          <w:numId w:val="2"/>
        </w:numPr>
        <w:spacing w:after="80"/>
      </w:pPr>
      <w:r>
        <w:rPr>
          <w:sz w:val="22"/>
          <w:szCs w:val="22"/>
        </w:rPr>
        <w:t xml:space="preserve">Target resolution within 5 business days; if more time is required, the patient receives a status update and an expected date.</w:t>
      </w:r>
    </w:p>
    <w:p>
      <w:pPr>
        <w:pStyle w:val="ListParagraph"/>
        <w:numPr>
          <w:ilvl w:val="0"/>
          <w:numId w:val="2"/>
        </w:numPr>
        <w:spacing w:after="80"/>
      </w:pPr>
      <w:r>
        <w:rPr>
          <w:sz w:val="22"/>
          <w:szCs w:val="22"/>
        </w:rPr>
        <w:t xml:space="preserve">Billing/shipping/service issues are resolved by Operations. Anything touching clinical care, symptoms, dosing, or medication questions is escalated to the partner physician — Velacore staff never give medical advice.</w:t>
      </w:r>
    </w:p>
    <w:p>
      <w:pPr>
        <w:pStyle w:val="ListParagraph"/>
        <w:numPr>
          <w:ilvl w:val="0"/>
          <w:numId w:val="2"/>
        </w:numPr>
        <w:spacing w:after="80"/>
      </w:pPr>
      <w:r>
        <w:rPr>
          <w:sz w:val="22"/>
          <w:szCs w:val="22"/>
        </w:rPr>
        <w:t xml:space="preserve">Refund requests are processed strictly per the published Refund Policy: if the physician did not approve the program (in full or in part), the program payment is refunded in full within 15 days; the one-time $20 physician fee is non-refundable; medications are non-returnable and non-refundable once dispensed; shipping is included (no separate shipping fee).</w:t>
      </w:r>
    </w:p>
    <w:p>
      <w:pPr>
        <w:pStyle w:val="ListParagraph"/>
        <w:numPr>
          <w:ilvl w:val="0"/>
          <w:numId w:val="2"/>
        </w:numPr>
        <w:spacing w:after="80"/>
      </w:pPr>
      <w:r>
        <w:rPr>
          <w:sz w:val="22"/>
          <w:szCs w:val="22"/>
        </w:rPr>
        <w:t xml:space="preserve">Chargebacks: Operations responds with the order record (intake consents, refund-policy acknowledgment, physician decision, tracking) within the processor's deadline, and logs the outcome.</w:t>
      </w:r>
    </w:p>
    <w:p>
      <w:pPr>
        <w:pStyle w:val="Heading1"/>
        <w:spacing w:after="120" w:before="280"/>
      </w:pPr>
      <w:r>
        <w:rPr>
          <w:b/>
          <w:bCs/>
          <w:color w:val="1F2937"/>
          <w:sz w:val="26"/>
          <w:szCs w:val="26"/>
        </w:rPr>
        <w:t xml:space="preserve">6. Adverse Events</w:t>
      </w:r>
    </w:p>
    <w:p>
      <w:pPr>
        <w:pStyle w:val="ListParagraph"/>
        <w:numPr>
          <w:ilvl w:val="0"/>
          <w:numId w:val="2"/>
        </w:numPr>
        <w:spacing w:after="80"/>
      </w:pPr>
      <w:r>
        <w:rPr>
          <w:sz w:val="22"/>
          <w:szCs w:val="22"/>
        </w:rPr>
        <w:t xml:space="preserve">If a patient describes a medical emergency, staff instruct them to call 911 or go to the nearest emergency room immediately — before anything else.</w:t>
      </w:r>
    </w:p>
    <w:p>
      <w:pPr>
        <w:pStyle w:val="ListParagraph"/>
        <w:numPr>
          <w:ilvl w:val="0"/>
          <w:numId w:val="2"/>
        </w:numPr>
        <w:spacing w:after="80"/>
      </w:pPr>
      <w:r>
        <w:rPr>
          <w:sz w:val="22"/>
          <w:szCs w:val="22"/>
        </w:rPr>
        <w:t xml:space="preserve">Non-emergency adverse events are escalated to the AsherMed partner physician within 24 hours with the patient's report; the physician directs clinical follow-up (continue, adjust, or discontinue).</w:t>
      </w:r>
    </w:p>
    <w:p>
      <w:pPr>
        <w:pStyle w:val="ListParagraph"/>
        <w:numPr>
          <w:ilvl w:val="0"/>
          <w:numId w:val="2"/>
        </w:numPr>
        <w:spacing w:after="80"/>
      </w:pPr>
      <w:r>
        <w:rPr>
          <w:sz w:val="22"/>
          <w:szCs w:val="22"/>
        </w:rPr>
        <w:t xml:space="preserve">The event, escalation, physician direction, and patient notification are documented in the complaint log and the patient record. Velacore cooperates with AsherMed and the pharmacy on any FDA MedWatch reporting or product-quality investigation.</w:t>
      </w:r>
    </w:p>
    <w:p>
      <w:pPr>
        <w:pStyle w:val="ListParagraph"/>
        <w:numPr>
          <w:ilvl w:val="0"/>
          <w:numId w:val="2"/>
        </w:numPr>
        <w:spacing w:after="80"/>
      </w:pPr>
      <w:r>
        <w:rPr>
          <w:sz w:val="22"/>
          <w:szCs w:val="22"/>
        </w:rPr>
        <w:t xml:space="preserve">Suspected product-quality defects (contamination, damaged vials, labeling errors) are reported to AsherMed and the pharmacy the same business day; affected lots follow the pharmacy's recall procedure and patients are notified through secure channels.</w:t>
      </w:r>
    </w:p>
    <w:p>
      <w:pPr>
        <w:pStyle w:val="Heading1"/>
        <w:spacing w:after="120" w:before="280"/>
      </w:pPr>
      <w:r>
        <w:rPr>
          <w:b/>
          <w:bCs/>
          <w:color w:val="1F2937"/>
          <w:sz w:val="26"/>
          <w:szCs w:val="26"/>
        </w:rPr>
        <w:t xml:space="preserve">7. Trend Review</w:t>
      </w:r>
    </w:p>
    <w:p>
      <w:pPr>
        <w:spacing w:after="120"/>
      </w:pPr>
      <w:r>
        <w:rPr>
          <w:sz w:val="22"/>
          <w:szCs w:val="22"/>
        </w:rPr>
        <w:t xml:space="preserve">Compliance/Operations reviews the complaint log at least quarterly for patterns (e.g., recurring shipping failures, billing confusion, adverse-event clusters) and documents corrective actions. Findings feed the annual review of SOPs 01–05.</w:t>
      </w:r>
    </w:p>
    <w:p>
      <w:pPr>
        <w:pStyle w:val="Heading1"/>
        <w:spacing w:after="120" w:before="280"/>
      </w:pPr>
      <w:r>
        <w:rPr>
          <w:b/>
          <w:bCs/>
          <w:color w:val="1F2937"/>
          <w:sz w:val="26"/>
          <w:szCs w:val="26"/>
        </w:rPr>
        <w:t xml:space="preserve">8. Recordkeeping</w:t>
      </w:r>
    </w:p>
    <w:p>
      <w:pPr>
        <w:spacing w:after="120"/>
      </w:pPr>
      <w:r>
        <w:rPr>
          <w:sz w:val="22"/>
          <w:szCs w:val="22"/>
        </w:rPr>
        <w:t xml:space="preserve">Complaint and adverse-event records are retained per SOP-01 retention rules (six-year HIPAA baseline; ten-year operational baseline for Tennessee business records).</w:t>
      </w:r>
    </w:p>
    <w:p>
      <w:pPr>
        <w:pStyle w:val="Heading1"/>
        <w:spacing w:after="120" w:before="280"/>
      </w:pPr>
      <w:r>
        <w:rPr>
          <w:b/>
          <w:bCs/>
          <w:color w:val="1F2937"/>
          <w:sz w:val="26"/>
          <w:szCs w:val="26"/>
        </w:rPr>
        <w:t xml:space="preserve">9. Review</w:t>
      </w:r>
    </w:p>
    <w:p>
      <w:pPr>
        <w:spacing w:after="120"/>
      </w:pPr>
      <w:r>
        <w:rPr>
          <w:sz w:val="22"/>
          <w:szCs w:val="22"/>
        </w:rPr>
        <w:t xml:space="preserve">This policy is reviewed at least annually and after any serious adverse event, regulatory inquiry, or material change to the refund policy or support toolchain.</w:t>
      </w:r>
    </w:p>
    <w:p>
      <w:pPr>
        <w:spacing w:after="120" w:before="400"/>
      </w:pPr>
      <w:r>
        <w:rPr>
          <w:sz w:val="22"/>
          <w:szCs w:val="22"/>
        </w:rPr>
        <w:t xml:space="preserve">Approved by (AsherMed Clinical Authority): _______________________________   Date: ____________</w:t>
      </w:r>
    </w:p>
    <w:p>
      <w:pPr>
        <w:spacing w:after="120"/>
      </w:pPr>
      <w:r>
        <w:rPr>
          <w:sz w:val="22"/>
          <w:szCs w:val="22"/>
        </w:rPr>
        <w:t xml:space="preserve">Approved by (Compliance/Operations): _______________________________   Date: 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2026-07-23T03:53:18.797Z</dcterms:created>
  <dcterms:modified xsi:type="dcterms:W3CDTF">2026-07-23T03:53:18.797Z</dcterms:modified>
</cp:coreProperties>
</file>

<file path=docProps/custom.xml><?xml version="1.0" encoding="utf-8"?>
<Properties xmlns="http://schemas.openxmlformats.org/officeDocument/2006/custom-properties" xmlns:vt="http://schemas.openxmlformats.org/officeDocument/2006/docPropsVTypes"/>
</file>