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937"/>
          <w:sz w:val="32"/>
          <w:szCs w:val="32"/>
        </w:rPr>
        <w:t xml:space="preserve">VELACORE HEALTH</w:t>
      </w:r>
    </w:p>
    <w:p>
      <w:pPr>
        <w:spacing w:after="40"/>
        <w:jc w:val="center"/>
      </w:pPr>
      <w:r>
        <w:rPr>
          <w:color w:val="555555"/>
          <w:sz w:val="24"/>
          <w:szCs w:val="24"/>
        </w:rPr>
        <w:t xml:space="preserve">Standard Operating Procedure</w:t>
      </w:r>
    </w:p>
    <w:p>
      <w:pPr>
        <w:spacing w:after="40"/>
        <w:jc w:val="center"/>
      </w:pPr>
      <w:r>
        <w:rPr>
          <w:b/>
          <w:bCs/>
          <w:color w:val="0C8F72"/>
          <w:sz w:val="26"/>
          <w:szCs w:val="26"/>
        </w:rPr>
        <w:t xml:space="preserve">SOP-05</w:t>
      </w:r>
    </w:p>
    <w:p>
      <w:pPr>
        <w:spacing w:after="200"/>
        <w:jc w:val="center"/>
      </w:pPr>
      <w:r>
        <w:rPr>
          <w:b/>
          <w:bCs/>
          <w:color w:val="1F2937"/>
          <w:sz w:val="30"/>
          <w:szCs w:val="30"/>
        </w:rPr>
        <w:t xml:space="preserve">Medication Safety &amp; Contraindication Disclosure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E8F2EF" w:val="clear"/>
            <w:tcMar>
              <w:top w:type="dxa" w:w="60"/>
              <w:left w:type="dxa" w:w="100"/>
              <w:bottom w:type="dxa" w:w="60"/>
              <w:right w:type="dxa" w:w="100"/>
            </w:tcMar>
          </w:tcPr>
          <w:p>
            <w:r>
              <w:rPr>
                <w:b/>
                <w:bCs/>
                <w:sz w:val="20"/>
                <w:szCs w:val="20"/>
              </w:rPr>
              <w:t xml:space="preserve">Document Owner</w:t>
            </w:r>
          </w:p>
        </w:tc>
        <w:tc>
          <w:tcPr>
            <w:tcW w:type="dxa" w:w="6000"/>
            <w:shd w:fill="E8F2EF" w:val="clear"/>
            <w:tcMar>
              <w:top w:type="dxa" w:w="60"/>
              <w:left w:type="dxa" w:w="100"/>
              <w:bottom w:type="dxa" w:w="60"/>
              <w:right w:type="dxa" w:w="100"/>
            </w:tcMar>
          </w:tcPr>
          <w:p>
            <w:r>
              <w:rPr>
                <w:b/>
                <w:bCs/>
                <w:sz w:val="20"/>
                <w:szCs w:val="20"/>
              </w:rPr>
              <w:t xml:space="preserve">[Jonathan Douglass - Compliance &amp; Operations]</w:t>
            </w:r>
          </w:p>
        </w:tc>
      </w:tr>
      <w:tr>
        <w:tc>
          <w:tcPr>
            <w:tcW w:type="dxa" w:w="3200"/>
            <w:tcMar>
              <w:top w:type="dxa" w:w="60"/>
              <w:left w:type="dxa" w:w="100"/>
              <w:bottom w:type="dxa" w:w="60"/>
              <w:right w:type="dxa" w:w="100"/>
            </w:tcMar>
          </w:tcPr>
          <w:p>
            <w:r>
              <w:rPr>
                <w:b w:val="false"/>
                <w:bCs w:val="false"/>
                <w:sz w:val="20"/>
                <w:szCs w:val="20"/>
              </w:rPr>
              <w:t xml:space="preserve">Clinical Authority</w:t>
            </w:r>
          </w:p>
        </w:tc>
        <w:tc>
          <w:tcPr>
            <w:tcW w:type="dxa" w:w="6000"/>
            <w:tcMar>
              <w:top w:type="dxa" w:w="60"/>
              <w:left w:type="dxa" w:w="100"/>
              <w:bottom w:type="dxa" w:w="60"/>
              <w:right w:type="dxa" w:w="100"/>
            </w:tcMar>
          </w:tcPr>
          <w:p>
            <w:r>
              <w:rPr>
                <w:b w:val="false"/>
                <w:bCs w:val="false"/>
                <w:sz w:val="20"/>
                <w:szCs w:val="20"/>
              </w:rPr>
              <w:t xml:space="preserve">[Asher Medical - Dr. Crystal Broussard MD]</w:t>
            </w:r>
          </w:p>
        </w:tc>
      </w:tr>
      <w:tr>
        <w:tc>
          <w:tcPr>
            <w:tcW w:type="dxa" w:w="3200"/>
            <w:tcMar>
              <w:top w:type="dxa" w:w="60"/>
              <w:left w:type="dxa" w:w="100"/>
              <w:bottom w:type="dxa" w:w="60"/>
              <w:right w:type="dxa" w:w="100"/>
            </w:tcMar>
          </w:tcPr>
          <w:p>
            <w:r>
              <w:rPr>
                <w:b w:val="false"/>
                <w:bCs w:val="false"/>
                <w:sz w:val="20"/>
                <w:szCs w:val="20"/>
              </w:rPr>
              <w:t xml:space="preserve">Effective Date</w:t>
            </w:r>
          </w:p>
        </w:tc>
        <w:tc>
          <w:tcPr>
            <w:tcW w:type="dxa" w:w="6000"/>
            <w:tcMar>
              <w:top w:type="dxa" w:w="60"/>
              <w:left w:type="dxa" w:w="100"/>
              <w:bottom w:type="dxa" w:w="60"/>
              <w:right w:type="dxa" w:w="100"/>
            </w:tcMar>
          </w:tcPr>
          <w:p>
            <w:r>
              <w:rPr>
                <w:b w:val="false"/>
                <w:bCs w:val="false"/>
                <w:sz w:val="20"/>
                <w:szCs w:val="20"/>
              </w:rPr>
              <w:t xml:space="preserve">[__/__/2026]</w:t>
            </w:r>
          </w:p>
        </w:tc>
      </w:tr>
      <w:tr>
        <w:tc>
          <w:tcPr>
            <w:tcW w:type="dxa" w:w="3200"/>
            <w:tcMar>
              <w:top w:type="dxa" w:w="60"/>
              <w:left w:type="dxa" w:w="100"/>
              <w:bottom w:type="dxa" w:w="60"/>
              <w:right w:type="dxa" w:w="100"/>
            </w:tcMar>
          </w:tcPr>
          <w:p>
            <w:r>
              <w:rPr>
                <w:b w:val="false"/>
                <w:bCs w:val="false"/>
                <w:sz w:val="20"/>
                <w:szCs w:val="20"/>
              </w:rPr>
              <w:t xml:space="preserve">Version</w:t>
            </w:r>
          </w:p>
        </w:tc>
        <w:tc>
          <w:tcPr>
            <w:tcW w:type="dxa" w:w="6000"/>
            <w:tcMar>
              <w:top w:type="dxa" w:w="60"/>
              <w:left w:type="dxa" w:w="100"/>
              <w:bottom w:type="dxa" w:w="60"/>
              <w:right w:type="dxa" w:w="100"/>
            </w:tcMar>
          </w:tcPr>
          <w:p>
            <w:r>
              <w:rPr>
                <w:b w:val="false"/>
                <w:bCs w:val="false"/>
                <w:sz w:val="20"/>
                <w:szCs w:val="20"/>
              </w:rPr>
              <w:t xml:space="preserve">1.0 (draft for review)</w:t>
            </w:r>
          </w:p>
        </w:tc>
      </w:tr>
      <w:tr>
        <w:tc>
          <w:tcPr>
            <w:tcW w:type="dxa" w:w="3200"/>
            <w:tcMar>
              <w:top w:type="dxa" w:w="60"/>
              <w:left w:type="dxa" w:w="100"/>
              <w:bottom w:type="dxa" w:w="60"/>
              <w:right w:type="dxa" w:w="100"/>
            </w:tcMar>
          </w:tcPr>
          <w:p>
            <w:r>
              <w:rPr>
                <w:b w:val="false"/>
                <w:bCs w:val="false"/>
                <w:sz w:val="20"/>
                <w:szCs w:val="20"/>
              </w:rPr>
              <w:t xml:space="preserve">Review Cycle</w:t>
            </w:r>
          </w:p>
        </w:tc>
        <w:tc>
          <w:tcPr>
            <w:tcW w:type="dxa" w:w="6000"/>
            <w:tcMar>
              <w:top w:type="dxa" w:w="60"/>
              <w:left w:type="dxa" w:w="100"/>
              <w:bottom w:type="dxa" w:w="60"/>
              <w:right w:type="dxa" w:w="100"/>
            </w:tcMar>
          </w:tcPr>
          <w:p>
            <w:r>
              <w:rPr>
                <w:b w:val="false"/>
                <w:bCs w:val="false"/>
                <w:sz w:val="20"/>
                <w:szCs w:val="20"/>
              </w:rPr>
              <w:t xml:space="preserve">Annual, or upon material change to vendors, law, or workflow</w:t>
            </w:r>
          </w:p>
        </w:tc>
      </w:tr>
      <w:tr>
        <w:tc>
          <w:tcPr>
            <w:tcW w:type="dxa" w:w="3200"/>
            <w:tcMar>
              <w:top w:type="dxa" w:w="60"/>
              <w:left w:type="dxa" w:w="100"/>
              <w:bottom w:type="dxa" w:w="60"/>
              <w:right w:type="dxa" w:w="100"/>
            </w:tcMar>
          </w:tcPr>
          <w:p>
            <w:r>
              <w:rPr>
                <w:b w:val="false"/>
                <w:bCs w:val="false"/>
                <w:sz w:val="20"/>
                <w:szCs w:val="20"/>
              </w:rPr>
              <w:t xml:space="preserve">Last Reviewed</w:t>
            </w:r>
          </w:p>
        </w:tc>
        <w:tc>
          <w:tcPr>
            <w:tcW w:type="dxa" w:w="6000"/>
            <w:tcMar>
              <w:top w:type="dxa" w:w="60"/>
              <w:left w:type="dxa" w:w="100"/>
              <w:bottom w:type="dxa" w:w="60"/>
              <w:right w:type="dxa" w:w="100"/>
            </w:tcMar>
          </w:tcPr>
          <w:p>
            <w:r>
              <w:rPr>
                <w:b w:val="false"/>
                <w:bCs w:val="false"/>
                <w:sz w:val="20"/>
                <w:szCs w:val="20"/>
              </w:rPr>
              <w:t xml:space="preserve">[07/23/2026]</w:t>
            </w:r>
          </w:p>
        </w:tc>
      </w:tr>
    </w:tbl>
    <w:p>
      <w:pPr>
        <w:pStyle w:val="Heading1"/>
        <w:spacing w:after="120" w:before="280"/>
      </w:pPr>
      <w:r>
        <w:rPr>
          <w:b/>
          <w:bCs/>
          <w:color w:val="1F2937"/>
          <w:sz w:val="26"/>
          <w:szCs w:val="26"/>
        </w:rPr>
        <w:t xml:space="preserve">1. Purpose</w:t>
      </w:r>
    </w:p>
    <w:p>
      <w:pPr>
        <w:spacing w:after="120"/>
      </w:pPr>
      <w:r>
        <w:rPr>
          <w:sz w:val="22"/>
          <w:szCs w:val="22"/>
        </w:rPr>
        <w:t xml:space="preserve">This policy defines what patients are told about compounded medication safety, how contraindications are screened and disclosed, and what patients are instructed to do about storage, administration, and adverse events. It ensures consistent, accurate, non-promotional safety communication and supports LegitScript certification.</w:t>
      </w:r>
    </w:p>
    <w:p>
      <w:pPr>
        <w:pStyle w:val="Heading1"/>
        <w:spacing w:after="120" w:before="280"/>
      </w:pPr>
      <w:r>
        <w:rPr>
          <w:b/>
          <w:bCs/>
          <w:color w:val="1F2937"/>
          <w:sz w:val="26"/>
          <w:szCs w:val="26"/>
        </w:rPr>
        <w:t xml:space="preserve">2. Scope</w:t>
      </w:r>
    </w:p>
    <w:p>
      <w:pPr>
        <w:spacing w:after="120"/>
      </w:pPr>
      <w:r>
        <w:rPr>
          <w:sz w:val="22"/>
          <w:szCs w:val="22"/>
        </w:rPr>
        <w:t xml:space="preserve">Applies to all treatments coordinated through Velacore (currently: tirzepatide, semaglutide, NAD+, glutathione, and sermorelin), to all patient-facing content (website, intake, notifications, care-team scripts), and to all personnel. Clinical judgments remain solely with the AsherMed partner physician.</w:t>
      </w:r>
    </w:p>
    <w:p>
      <w:pPr>
        <w:pStyle w:val="Heading1"/>
        <w:spacing w:after="120" w:before="280"/>
      </w:pPr>
      <w:r>
        <w:rPr>
          <w:b/>
          <w:bCs/>
          <w:color w:val="1F2937"/>
          <w:sz w:val="26"/>
          <w:szCs w:val="26"/>
        </w:rPr>
        <w:t xml:space="preserve">3. Standing Safety Disclosures</w:t>
      </w:r>
    </w:p>
    <w:p>
      <w:pPr>
        <w:pStyle w:val="ListParagraph"/>
        <w:numPr>
          <w:ilvl w:val="0"/>
          <w:numId w:val="2"/>
        </w:numPr>
        <w:spacing w:after="80"/>
      </w:pPr>
      <w:r>
        <w:rPr>
          <w:sz w:val="22"/>
          <w:szCs w:val="22"/>
        </w:rPr>
        <w:t xml:space="preserve">Prescription only. Every medication requires an individual prescription issued by an independent, licensed physician when clinically appropriate. Payment does not guarantee a prescription.</w:t>
      </w:r>
    </w:p>
    <w:p>
      <w:pPr>
        <w:pStyle w:val="ListParagraph"/>
        <w:numPr>
          <w:ilvl w:val="0"/>
          <w:numId w:val="2"/>
        </w:numPr>
        <w:spacing w:after="80"/>
      </w:pPr>
      <w:r>
        <w:rPr>
          <w:sz w:val="22"/>
          <w:szCs w:val="22"/>
        </w:rPr>
        <w:t xml:space="preserve">Compounded medications. Patients are informed that compounded medications are prepared by a licensed 503A compounding pharmacy to a physician's prescription and, as compounded preparations, are not FDA-approved products, although the pharmacy operates under state licensure and applicable USP standards.</w:t>
      </w:r>
    </w:p>
    <w:p>
      <w:pPr>
        <w:pStyle w:val="ListParagraph"/>
        <w:numPr>
          <w:ilvl w:val="0"/>
          <w:numId w:val="2"/>
        </w:numPr>
        <w:spacing w:after="80"/>
      </w:pPr>
      <w:r>
        <w:rPr>
          <w:sz w:val="22"/>
          <w:szCs w:val="22"/>
        </w:rPr>
        <w:t xml:space="preserve">Individual variability. Responses vary by individual; no outcome is promised. Website and communications carry no efficacy claims.</w:t>
      </w:r>
    </w:p>
    <w:p>
      <w:pPr>
        <w:pStyle w:val="ListParagraph"/>
        <w:numPr>
          <w:ilvl w:val="0"/>
          <w:numId w:val="2"/>
        </w:numPr>
        <w:spacing w:after="80"/>
      </w:pPr>
      <w:r>
        <w:rPr>
          <w:sz w:val="22"/>
          <w:szCs w:val="22"/>
        </w:rPr>
        <w:t xml:space="preserve">Side effects. Like any medication, prescribed treatments can cause side effects; the physician and pharmacy materials describe medication-specific risks, and patients are directed to raise questions with the physician.</w:t>
      </w:r>
    </w:p>
    <w:p>
      <w:pPr>
        <w:pStyle w:val="ListParagraph"/>
        <w:numPr>
          <w:ilvl w:val="0"/>
          <w:numId w:val="2"/>
        </w:numPr>
        <w:spacing w:after="80"/>
      </w:pPr>
      <w:r>
        <w:rPr>
          <w:sz w:val="22"/>
          <w:szCs w:val="22"/>
        </w:rPr>
        <w:t xml:space="preserve">Not for emergencies. All patient-facing channels state: if you are experiencing a medical emergency, call 911 or go to the nearest emergency room.</w:t>
      </w:r>
    </w:p>
    <w:p>
      <w:pPr>
        <w:pStyle w:val="Heading1"/>
        <w:spacing w:after="120" w:before="280"/>
      </w:pPr>
      <w:r>
        <w:rPr>
          <w:b/>
          <w:bCs/>
          <w:color w:val="1F2937"/>
          <w:sz w:val="26"/>
          <w:szCs w:val="26"/>
        </w:rPr>
        <w:t xml:space="preserve">4. Contraindication Screening</w:t>
      </w:r>
    </w:p>
    <w:p>
      <w:pPr>
        <w:spacing w:after="120"/>
      </w:pPr>
      <w:r>
        <w:rPr>
          <w:sz w:val="22"/>
          <w:szCs w:val="22"/>
        </w:rPr>
        <w:t xml:space="preserve">Screening is performed by the partner physician using the intake and the AsherMed clinical record (SOP-02). The intake collects, at minimum:</w:t>
      </w:r>
    </w:p>
    <w:p>
      <w:pPr>
        <w:pStyle w:val="ListParagraph"/>
        <w:numPr>
          <w:ilvl w:val="0"/>
          <w:numId w:val="2"/>
        </w:numPr>
        <w:spacing w:after="80"/>
      </w:pPr>
      <w:r>
        <w:rPr>
          <w:sz w:val="22"/>
          <w:szCs w:val="22"/>
        </w:rPr>
        <w:t xml:space="preserve">Pregnancy or breastfeeding status.</w:t>
      </w:r>
    </w:p>
    <w:p>
      <w:pPr>
        <w:pStyle w:val="ListParagraph"/>
        <w:numPr>
          <w:ilvl w:val="0"/>
          <w:numId w:val="2"/>
        </w:numPr>
        <w:spacing w:after="80"/>
      </w:pPr>
      <w:r>
        <w:rPr>
          <w:sz w:val="22"/>
          <w:szCs w:val="22"/>
        </w:rPr>
        <w:t xml:space="preserve">Personal and family history relevant to the requested therapy (for GLP-1 therapies this includes personal/family history of medullary thyroid carcinoma or MEN 2, and history of pancreatitis).</w:t>
      </w:r>
    </w:p>
    <w:p>
      <w:pPr>
        <w:pStyle w:val="ListParagraph"/>
        <w:numPr>
          <w:ilvl w:val="0"/>
          <w:numId w:val="2"/>
        </w:numPr>
        <w:spacing w:after="80"/>
      </w:pPr>
      <w:r>
        <w:rPr>
          <w:sz w:val="22"/>
          <w:szCs w:val="22"/>
        </w:rPr>
        <w:t xml:space="preserve">Current medications and supplements (interaction screening), allergies, and relevant conditions.</w:t>
      </w:r>
    </w:p>
    <w:p>
      <w:pPr>
        <w:pStyle w:val="ListParagraph"/>
        <w:numPr>
          <w:ilvl w:val="0"/>
          <w:numId w:val="2"/>
        </w:numPr>
        <w:spacing w:after="80"/>
      </w:pPr>
      <w:r>
        <w:rPr>
          <w:sz w:val="22"/>
          <w:szCs w:val="22"/>
        </w:rPr>
        <w:t xml:space="preserve">Additional therapy-specific screens where applicable (e.g., G6PD status where clinically indicated).</w:t>
      </w:r>
    </w:p>
    <w:p>
      <w:pPr>
        <w:spacing w:after="120"/>
      </w:pPr>
      <w:r>
        <w:rPr>
          <w:sz w:val="22"/>
          <w:szCs w:val="22"/>
        </w:rPr>
        <w:t xml:space="preserve">The physician — not Velacore — determines eligibility and discloses patient-specific contraindications and risks as part of the clinical encounter. If the physician declines, the denial and guidance are communicated per SOP-02 and SOP-03.</w:t>
      </w:r>
    </w:p>
    <w:p>
      <w:pPr>
        <w:pStyle w:val="Heading1"/>
        <w:spacing w:after="120" w:before="280"/>
      </w:pPr>
      <w:r>
        <w:rPr>
          <w:b/>
          <w:bCs/>
          <w:color w:val="1F2937"/>
          <w:sz w:val="26"/>
          <w:szCs w:val="26"/>
        </w:rPr>
        <w:t xml:space="preserve">5. Storage, Handling &amp; Administration Instructions</w:t>
      </w:r>
    </w:p>
    <w:p>
      <w:pPr>
        <w:pStyle w:val="ListParagraph"/>
        <w:numPr>
          <w:ilvl w:val="0"/>
          <w:numId w:val="2"/>
        </w:numPr>
        <w:spacing w:after="80"/>
      </w:pPr>
      <w:r>
        <w:rPr>
          <w:sz w:val="22"/>
          <w:szCs w:val="22"/>
        </w:rPr>
        <w:t xml:space="preserve">Every shipment includes administration instructions from the pharmacy. Injectable therapies are for subcutaneous use only, as prescribed.</w:t>
      </w:r>
    </w:p>
    <w:p>
      <w:pPr>
        <w:pStyle w:val="ListParagraph"/>
        <w:numPr>
          <w:ilvl w:val="0"/>
          <w:numId w:val="2"/>
        </w:numPr>
        <w:spacing w:after="80"/>
      </w:pPr>
      <w:r>
        <w:rPr>
          <w:sz w:val="22"/>
          <w:szCs w:val="22"/>
        </w:rPr>
        <w:t xml:space="preserve">Storage: patients are instructed to follow the label — typically refrigeration for reconstituted/injectable products — and to keep all medication out of reach of children and pets.</w:t>
      </w:r>
    </w:p>
    <w:p>
      <w:pPr>
        <w:pStyle w:val="ListParagraph"/>
        <w:numPr>
          <w:ilvl w:val="0"/>
          <w:numId w:val="2"/>
        </w:numPr>
        <w:spacing w:after="80"/>
      </w:pPr>
      <w:r>
        <w:rPr>
          <w:sz w:val="22"/>
          <w:szCs w:val="22"/>
        </w:rPr>
        <w:t xml:space="preserve">Sharps: patients using injections are instructed to use an approved sharps container and dispose of it per their local rules.</w:t>
      </w:r>
    </w:p>
    <w:p>
      <w:pPr>
        <w:pStyle w:val="ListParagraph"/>
        <w:numPr>
          <w:ilvl w:val="0"/>
          <w:numId w:val="2"/>
        </w:numPr>
        <w:spacing w:after="80"/>
      </w:pPr>
      <w:r>
        <w:rPr>
          <w:sz w:val="22"/>
          <w:szCs w:val="22"/>
        </w:rPr>
        <w:t xml:space="preserve">Never share medication, never adjust dose without the physician, and discard product past its beyond-use date.</w:t>
      </w:r>
    </w:p>
    <w:p>
      <w:pPr>
        <w:pStyle w:val="ListParagraph"/>
        <w:numPr>
          <w:ilvl w:val="0"/>
          <w:numId w:val="2"/>
        </w:numPr>
        <w:spacing w:after="80"/>
      </w:pPr>
      <w:r>
        <w:rPr>
          <w:sz w:val="22"/>
          <w:szCs w:val="22"/>
        </w:rPr>
        <w:t xml:space="preserve">The care team may walk a patient through first-dose logistics (supplies, storage, where to find instructions) but never advises on clinical matters such as dosing changes.</w:t>
      </w:r>
    </w:p>
    <w:p>
      <w:pPr>
        <w:pStyle w:val="Heading1"/>
        <w:spacing w:after="120" w:before="280"/>
      </w:pPr>
      <w:r>
        <w:rPr>
          <w:b/>
          <w:bCs/>
          <w:color w:val="1F2937"/>
          <w:sz w:val="26"/>
          <w:szCs w:val="26"/>
        </w:rPr>
        <w:t xml:space="preserve">6. Adverse Events &amp; Product Quality</w:t>
      </w:r>
    </w:p>
    <w:p>
      <w:pPr>
        <w:spacing w:after="120"/>
      </w:pPr>
      <w:r>
        <w:rPr>
          <w:sz w:val="22"/>
          <w:szCs w:val="22"/>
        </w:rPr>
        <w:t xml:space="preserve">Adverse events follow SOP-04 Section 6: emergencies go to 911; non-emergencies are escalated to the partner physician within 24 hours; product-quality issues are reported to AsherMed and the pharmacy the same business day and documented. Patients are told at onboarding how to reach the care team and what to do if they experience side effects.</w:t>
      </w:r>
    </w:p>
    <w:p>
      <w:pPr>
        <w:pStyle w:val="Heading1"/>
        <w:spacing w:after="120" w:before="280"/>
      </w:pPr>
      <w:r>
        <w:rPr>
          <w:b/>
          <w:bCs/>
          <w:color w:val="1F2937"/>
          <w:sz w:val="26"/>
          <w:szCs w:val="26"/>
        </w:rPr>
        <w:t xml:space="preserve">7. Content Governance</w:t>
      </w:r>
    </w:p>
    <w:p>
      <w:pPr>
        <w:spacing w:after="120"/>
      </w:pPr>
      <w:r>
        <w:rPr>
          <w:sz w:val="22"/>
          <w:szCs w:val="22"/>
        </w:rPr>
        <w:t xml:space="preserve">All patient-facing safety language (website, FAQ, notifications, scripts) is reviewed against this policy before publication. No content may make disease-treatment, outcome, or efficacy claims; safety framing always points clinical questions to the physician. Material changes are reviewed by Compliance/Operations and, where clinical, by the AsherMed clinical authority.</w:t>
      </w:r>
    </w:p>
    <w:p>
      <w:pPr>
        <w:pStyle w:val="Heading1"/>
        <w:spacing w:after="120" w:before="280"/>
      </w:pPr>
      <w:r>
        <w:rPr>
          <w:b/>
          <w:bCs/>
          <w:color w:val="1F2937"/>
          <w:sz w:val="26"/>
          <w:szCs w:val="26"/>
        </w:rPr>
        <w:t xml:space="preserve">8. Review</w:t>
      </w:r>
    </w:p>
    <w:p>
      <w:pPr>
        <w:spacing w:after="120"/>
      </w:pPr>
      <w:r>
        <w:rPr>
          <w:sz w:val="22"/>
          <w:szCs w:val="22"/>
        </w:rPr>
        <w:t xml:space="preserve">This policy is reviewed at least annually, upon adding or removing a therapy, after any serious adverse event, and upon relevant regulatory change.</w:t>
      </w:r>
    </w:p>
    <w:p>
      <w:pPr>
        <w:spacing w:after="120" w:before="400"/>
      </w:pPr>
      <w:r>
        <w:rPr>
          <w:sz w:val="22"/>
          <w:szCs w:val="22"/>
        </w:rPr>
        <w:t xml:space="preserve">Approved by (AsherMed Clinical Authority): _______________________________   Date: ____________</w:t>
      </w:r>
    </w:p>
    <w:p>
      <w:pPr>
        <w:spacing w:after="120"/>
      </w:pPr>
      <w:r>
        <w:rPr>
          <w:sz w:val="22"/>
          <w:szCs w:val="22"/>
        </w:rPr>
        <w:t xml:space="preserve">Approved by (Compliance/Operations): _______________________________   Date: 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2026-07-23T03:53:18.798Z</dcterms:created>
  <dcterms:modified xsi:type="dcterms:W3CDTF">2026-07-23T03:53:18.798Z</dcterms:modified>
</cp:coreProperties>
</file>

<file path=docProps/custom.xml><?xml version="1.0" encoding="utf-8"?>
<Properties xmlns="http://schemas.openxmlformats.org/officeDocument/2006/custom-properties" xmlns:vt="http://schemas.openxmlformats.org/officeDocument/2006/docPropsVTypes"/>
</file>