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1.Организационное обеспечение: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300663" cy="3152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Техническое обеспечение: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Наименование технической единицы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Характеристики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Базовое техническое обеспечение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Микропроцессор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Intel® Core TM i7 4510U, Intel® Core TM i5 4210U, Intel core i7 2.40 GHz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Постоянная память – ПЗУ.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1TB HDD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Оперативная память – ОЗУ.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DDR3 4096 Мб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Материнская плата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MB LGA-775S GIGABYTE GA-EP45-DS3L (IP45+SB+2xGLAN), ATX 1600Mhz, 4xDDRII, PCI-Ex16, 3xPCI, 1IDE, 4SATA, BOX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Видеокарта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GeFoce 920M 2 Гб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Периферийное техническое обеспечение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Монитор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19" SAMSUNG SM943NW 0.285mm, (1280х1024@75), 1.5ms, 300 cd/m2, 1000:1.5 , VGA, D-Sub, DVI, TCO99 Silver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Клавиатура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Keyboard USB CHD KB-4322-01-U, MM+Int keys, Eng/Rus/Kaz, Silver/Black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Мышь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Mouse Wireless USB Hama M3050, 8 buttons, Laser (800, 1600dpi), 2AAA, black/silver (52470)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Принтер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HP LaserJet Pro MFP M225dn (A4/1200dpi/26стр.м/макс размер скан 216х297мм/USB/256Mb, 600МГц, лоток 260листов, LAN10/100)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3. Программное обеспечение: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Программы для инженеров: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Aida64, DirivePackSolution, Ccleaner.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Операционные системы: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Windows 7,10.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Офисные пакеты: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MS Office.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Докуметооборот: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1C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5. Техническая документация: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311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6.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