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>
          <w:rFonts w:ascii="Times new roman" w:hAnsi="Times new roman"/>
          <w:sz w:val="36"/>
          <w:szCs w:val="36"/>
        </w:rPr>
      </w:pPr>
      <w:bookmarkStart w:id="0" w:name="22"/>
      <w:bookmarkEnd w:id="0"/>
      <w:r>
        <w:rPr>
          <w:rFonts w:ascii="Times new roman" w:hAnsi="Times new roman"/>
          <w:sz w:val="28"/>
          <w:szCs w:val="28"/>
        </w:rPr>
        <w:t>Первая медицинская помощь при электротравме на рабочем месте программиста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и неотложная помощь при поражении электрическим током.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[3].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 [2].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[4].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 [1].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 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[3].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1021</Words>
  <Characters>6681</Characters>
  <CharactersWithSpaces>7694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2019-03-09T17:42:13Z</dcterms:created>
  <dc:creator/>
  <dc:description/>
  <dc:language>ru-RU</dc:language>
  <cp:lastModifiedBy/>
  <dcterms:modified xsi:type="dcterms:W3CDTF">2019-03-09T17:45:52Z</dcterms:modified>
  <cp:revision>3</cp:revision>
  <dc:subject/>
  <dc:title/>
</cp:coreProperties>
</file>