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Эргономика рабочего места программиста.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Параметры микроклимат</w:t>
      </w:r>
      <w:r>
        <w:rPr>
          <w:rFonts w:ascii="Times New Roman" w:hAnsi="Times New Roman"/>
          <w:b/>
          <w:sz w:val="28"/>
          <w:szCs w:val="28"/>
        </w:rPr>
        <w:t>a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Параметры микроклимата могут меняться в широких пределах, в то время как необходимым условием жизнедеятельности человека является поддержание постоянства температуры тела благодаря терморегуляции, т.е. способности организма регулировать отдачу тепла в окружающую среду. Принцип нормирования микроклимата - создание оптимальных условий для теплообмена тела человека с окружающей средой.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</w:rPr>
        <w:t>Вычислительная техника является источником существенных тепловыделений, что может привести к повышению температуры и снижению относительной влажности в помещении. В помещениях, где установлены компьютеры, должны соблюдаться определенные параметры микроклимата. В санитарных нормах СН-245-71 установлены величины параметров микроклимата, создающие комфортные условия. Эти нормы устанавливаются в зависимости от времени года, характера трудового процесса и характера производственного помещения.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</w:rPr>
        <w:t>Объем помещений, в которых размещены работники вычислительных центров, не должен быть меньше 19,5м</w:t>
      </w:r>
      <w:r>
        <w:rPr>
          <w:b w:val="false"/>
          <w:bCs w:val="false"/>
          <w:position w:val="9"/>
          <w:sz w:val="22"/>
        </w:rPr>
        <w:t>3</w:t>
      </w:r>
      <w:r>
        <w:rPr>
          <w:b w:val="false"/>
          <w:bCs w:val="false"/>
        </w:rPr>
        <w:t>/человека с учетом максимального числа одновременно работающих в смену. Нормы подачи свежего воздуха в помещения, где расположены компьютеры, приведены в табл.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426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 помещения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Объемный расход подаваемого в помещение свежего воздуха, м</w:t>
            </w:r>
            <w:r>
              <w:rPr>
                <w:rFonts w:ascii="Times New Roman" w:hAnsi="Times New Roman"/>
                <w:position w:val="9"/>
                <w:sz w:val="22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/на одного человека в час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Объем до 20м</w:t>
            </w:r>
            <w:r>
              <w:rPr>
                <w:rFonts w:ascii="Times New Roman" w:hAnsi="Times New Roman"/>
                <w:position w:val="9"/>
                <w:sz w:val="22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человека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менее 30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20…40м</w:t>
            </w:r>
            <w:r>
              <w:rPr>
                <w:rFonts w:ascii="Times New Roman" w:hAnsi="Times New Roman"/>
                <w:position w:val="9"/>
                <w:sz w:val="22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человека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менее 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Более 40м</w:t>
            </w:r>
            <w:r>
              <w:rPr>
                <w:rFonts w:ascii="Times New Roman" w:hAnsi="Times New Roman"/>
                <w:position w:val="9"/>
                <w:sz w:val="22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человека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pacing w:before="0" w:after="1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Естественная вентиляция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обеспечения комфортных условий используются как организационные методы (рациональная организация проведения работ в зависимости от времени года и суток, чередование труда и отдыха), так и технические средства (вентиляция, кондиционирование воздуха, отопительная система).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3"/>
        <w:jc w:val="center"/>
        <w:rPr>
          <w:rFonts w:ascii="Times New Roman" w:hAnsi="Times New Roman"/>
          <w:b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 w:val="false"/>
          <w:sz w:val="28"/>
          <w:szCs w:val="28"/>
        </w:rPr>
        <w:t>Шум и вибрация</w:t>
      </w:r>
    </w:p>
    <w:p>
      <w:pPr>
        <w:pStyle w:val="3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Шум ухудшает условия труда оказывая вредное действие на организм человека. Работающие в условиях длительного шумового воздействия испытывают раздражительность, головные боли, головокружение, снижение памяти, повышенную утомляемость, понижение аппетита, боли в ушах и т. д.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стрессовых. Под воздействием шума снижается концентрация внимания, нарушаются физиологические функции, появляется усталость в связи с повышенными энергетическими затратами и нервно-психическим напряжением, ухудшается речевая коммутация. Все это снижает работоспособность человека и его производительность, качество и безопасность труда. Длительное воздействие интенсивного шума [выше 80 дБ(А)] на слух человека приводит к его частичной или полной потере [25].</w:t>
      </w:r>
    </w:p>
    <w:p>
      <w:pPr>
        <w:pStyle w:val="3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В табл. 7.3 указаны предельные уровни звука в зависимости от категории тяжести и напряженности труда, являющиеся безопасными в отношении сохранения здоровья и работоспособности.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spacing w:before="0" w:after="1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Категория напряженности труда</w:t>
            </w:r>
          </w:p>
        </w:tc>
        <w:tc>
          <w:tcPr>
            <w:tcW w:w="7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Категория тяжести труда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I. Легкая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II. Средняя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III. Тяжелая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IV. Очень тяжелая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I. Мало напряженный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  <w:p>
            <w:pPr>
              <w:pStyle w:val="Style14"/>
              <w:spacing w:before="0" w:after="1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II. Умеренно напряженный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III. Напряженный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IV. Очень напряженный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Уровень шума на рабочем месте математиков-программистов и операторов видеоматериалов не должен превышать 50дБА, а в залах обработки информации на вычислительных машинах </w:t>
      </w:r>
      <w:r>
        <w:rPr>
          <w:rFonts w:ascii="Times new roman" w:hAnsi="Times new roman"/>
          <w:b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65дБА. Для снижения уровня шума стены и потолок помещений, где установлены компьютеры, могут быть облицованы звукопоглощающими материалами. Уровень вибрации в помещениях вычислительных центров может быть снижен путем установки оборудования на специальные виброизоляторы.</w:t>
      </w:r>
    </w:p>
    <w:p>
      <w:pPr>
        <w:pStyle w:val="3"/>
        <w:jc w:val="center"/>
        <w:rPr>
          <w:rFonts w:ascii="Times new roman" w:hAnsi="Times new roman"/>
          <w:b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 w:val="false"/>
          <w:sz w:val="28"/>
          <w:szCs w:val="28"/>
        </w:rPr>
        <w:t>Электромагнитное и ионизирующее излучения</w:t>
      </w:r>
    </w:p>
    <w:p>
      <w:pPr>
        <w:pStyle w:val="3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Большинство ученых считают, что как кратковременное, так и длительное воздействие всех видов излучения от экрана монитора не опасно для здоровья персонала, обслуживающего компьютеры. Однако исчерпывающих данных относительно опасности воздействия излучения от мониторов на работающих с компьютерами не существует и исследования в этом направлении продолжаются.</w:t>
      </w:r>
    </w:p>
    <w:p>
      <w:pPr>
        <w:pStyle w:val="3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Допустимые значения параметров неионизирующих электромагнитных излучений от монитора компьютера представлены в табл.</w:t>
      </w:r>
    </w:p>
    <w:p>
      <w:pPr>
        <w:pStyle w:val="3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Максимальный уровень рентгеновского излучения на рабочем месте оператора компьютера обычно не превышает 10мкбэр/ч, а интенсивность ультрафиолетового и инфракрасного излучений от экрана монитора лежит в пределах 10…100мВт/м</w:t>
      </w:r>
      <w:r>
        <w:rPr>
          <w:rFonts w:ascii="Times new roman" w:hAnsi="Times new roman"/>
          <w:b w:val="false"/>
          <w:bCs w:val="false"/>
          <w:position w:val="9"/>
          <w:sz w:val="22"/>
        </w:rPr>
        <w:t>2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Допустимые значения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Напряженность электрической составляющей электромагнитного </w:t>
            </w:r>
          </w:p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 на расстоянии 50см от поверхности видеомонитора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10В/м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Напряженность магнитной составляющей электромагнитного поля на расстоянии 50см от поверхности видеомонитора</w:t>
            </w:r>
          </w:p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0,3А/м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Напряженность электростатического поля не должна превышать:</w:t>
            </w:r>
          </w:p>
          <w:p>
            <w:pPr>
              <w:pStyle w:val="Style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взрослых пользователей</w:t>
            </w:r>
          </w:p>
          <w:p>
            <w:pPr>
              <w:pStyle w:val="Style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детей дошкольных учреждений и учащихся</w:t>
            </w:r>
          </w:p>
          <w:p>
            <w:pPr>
              <w:pStyle w:val="Style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средних специальных и высших учебных заведений</w:t>
            </w:r>
          </w:p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20кВ/м</w:t>
            </w:r>
          </w:p>
          <w:p>
            <w:pPr>
              <w:pStyle w:val="Style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15кВ/м</w:t>
            </w:r>
          </w:p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Style14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снижения воздействия этих видов излучения рекомендуется применять мониторы с пониженным уровнем излучения (MPR-II, TCO-92, TCO-99), устанавливать защитные экраны, а также соблюдать регламентированные режимы труда и отдыха.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595</Words>
  <Characters>4294</Characters>
  <CharactersWithSpaces>4833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2019-03-09T16:59:11Z</dcterms:created>
  <dc:creator/>
  <dc:description/>
  <dc:language>ru-RU</dc:language>
  <cp:lastModifiedBy/>
  <dcterms:modified xsi:type="dcterms:W3CDTF">2019-03-09T17:00:02Z</dcterms:modified>
  <cp:revision>1</cp:revision>
  <dc:subject/>
  <dc:title/>
</cp:coreProperties>
</file>