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</w:tblPr>
      <w:tblGrid>
        <w:gridCol w:w="9071"/>
      </w:tblGrid>
      <w:tr>
        <w:tc>
          <w:tcPr>
            <w:tcW w:type="dxa" w:w="9071"/>
          </w:tcPr>
          <w:p>
            <w:r/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NOTAS: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REV.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MOTIVO DA REVISÃO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DATA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PROJ.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VERIF.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APROV.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</w:tr>
            <w:tr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EMISSÃO INICIAL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12/10/2026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</w:tr>
            <w:tr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</w:tr>
          </w:tbl>
          <w:p/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/>
                <w:sz w:val="18"/>
              </w:rPr>
              <w:t>[LOGO BK]                                                            [LOGO DO CLIENTE]</w:t>
            </w:r>
          </w:p>
          <w:p>
            <w:pPr>
              <w:spacing w:after="80"/>
              <w:jc w:val="left"/>
            </w:pPr>
            <w:r>
              <w:rPr>
                <w:b w:val="0"/>
                <w:sz w:val="18"/>
              </w:rPr>
              <w:t>DATA: 12/10/2026    PROJ.:     VERIF.: ________    APROV.: ________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center"/>
            </w:pPr>
            <w:r>
              <w:rPr>
                <w:b/>
                <w:sz w:val="24"/>
              </w:rPr>
              <w:t>Obra: —</w:t>
            </w:r>
          </w:p>
          <w:p>
            <w:pPr>
              <w:spacing w:after="80"/>
              <w:jc w:val="center"/>
            </w:pPr>
            <w:r>
              <w:rPr>
                <w:b/>
                <w:sz w:val="24"/>
              </w:rPr>
              <w:t>COORDENAÇÃO DE ISOLAMENTO – ISOLADORES, DISTÂNCIAS NO AR E PARA-RAIOS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/>
                <w:sz w:val="18"/>
              </w:rPr>
              <w:t>Nº DOC: BK-LT-MC-M5        FOLHA: 1        REV.: R0</w:t>
            </w:r>
          </w:p>
        </w:tc>
      </w:tr>
    </w:tbl>
    <w:p>
      <w:r>
        <w:br w:type="page"/>
      </w:r>
    </w:p>
    <w:p>
      <w:pPr>
        <w:pStyle w:val="TítuloBKprincipal"/>
        <w:outlineLvl w:val="9"/>
      </w:pPr>
      <w:r>
        <w:t>SUMÁRIO</w:t>
      </w:r>
    </w:p>
    <w:p>
      <w:pPr>
        <w:jc w:val="left"/>
      </w:pPr>
      <w:r>
        <w:fldChar w:fldCharType="begin"/>
        <w:instrText xml:space="preserve"> TOC \o "1-2" \h \z \u </w:instrText>
        <w:fldChar w:fldCharType="separate"/>
        <w:t xml:space="preserve">1. OBJETIVO</w:t>
        <w:br/>
        <w:t xml:space="preserve">2. DOCUMENTOS DE REFERÊNCIA</w:t>
        <w:br/>
        <w:t xml:space="preserve">3. NORMAS TÉCNICAS ADOTADAS</w:t>
        <w:br/>
        <w:t xml:space="preserve">4. METODOLOGIA DE CÁLCULO</w:t>
        <w:br/>
        <w:t xml:space="preserve">5. DADOS DE ENTRADA E CONSIDERAÇÕES GERAIS</w:t>
        <w:br/>
        <w:t xml:space="preserve">6. DIMENSIONAMENTO E VERIFICAÇÕES</w:t>
        <w:br/>
        <w:t xml:space="preserve">7. PARA-RAIOS E COORDENAÇÃO</w:t>
        <w:br/>
        <w:t xml:space="preserve">8. RESULTADOS OBTIDOS</w:t>
        <w:br/>
        <w:t xml:space="preserve">9. CONCLUSÕES</w:t>
        <w:br/>
        <w:t xml:space="preserve">10. REFERÊNCIAS BIBLIOGRÁFICAS</w:t>
        <w:br/>
        <w:fldChar w:fldCharType="end"/>
      </w:r>
    </w:p>
    <w:p>
      <w:r>
        <w:rPr>
          <w:i/>
        </w:rPr>
        <w:t>Observação: atualizar o sumário no Word (clique direito › Atualizar campo) para obter as páginas.</w:t>
      </w:r>
    </w:p>
    <w:p>
      <w:r>
        <w:br w:type="page"/>
      </w:r>
    </w:p>
    <w:p>
      <w:pPr>
        <w:pStyle w:val="TítuloBKprincipal"/>
      </w:pPr>
      <w:r>
        <w:t>1. OBJETIVO</w:t>
      </w:r>
    </w:p>
    <w:p>
      <w:r>
        <w:rPr>
          <w:i w:val="0"/>
        </w:rPr>
        <w:t>Definir o isolamento da linha de transmissão : número de isoladores por cadeia, distâncias mínimas no ar (fase-terra e fase-fase) para tensão de frequência fundamental, sobretensões de manobra (frente lenta) e de descarga (frente rápida), verificação com balanço dos condutores, cargas mecânicas da cadeia e especificação preliminar de para-raios.</w:t>
      </w:r>
    </w:p>
    <w:p>
      <w:r>
        <w:rPr>
          <w:b/>
        </w:rPr>
        <w:t xml:space="preserve">Escopo excluído: </w:t>
      </w:r>
      <w:r>
        <w:rPr>
          <w:i w:val="0"/>
        </w:rPr>
        <w:t>estudo de transitórios eletromagnéticos (EMT), desempenho a descargas atmosféricas (taxa de desligamento) e rádio-interferência.</w:t>
      </w:r>
    </w:p>
    <w:p>
      <w:pPr>
        <w:pStyle w:val="TítuloBKprincipal"/>
      </w:pPr>
      <w:r>
        <w:t>2. DOCUMENTOS DE REFERÊNCIA</w:t>
      </w:r>
    </w:p>
    <w:p>
      <w:pPr>
        <w:keepNext/>
        <w:jc w:val="left"/>
      </w:pPr>
      <w:r>
        <w:rPr>
          <w:b/>
          <w:sz w:val="20"/>
        </w:rPr>
        <w:t>Tabela 1 – Documentos de referência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Título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Rev.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DADO NÃO INFORMADO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12/10/2026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ABNT NBR 5422:2024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Projeto de linhas aéreas de transmissão de energia elétrica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Diretrizes de projeto básico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Diretrizes para projetos básicos de empreendimentos de transmissão (3.2.13, 4.7, 6.8)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Projeto Elétrico de LTs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Livro do acervo (itens 4.6 e 4.7: número de isoladores e gradiente)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Planilha BK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LINHA DE TRANSMISSÃO 4.xlsm (abas Distância de Segurança e EDS Para-raios)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TítuloBKprincipal"/>
      </w:pPr>
      <w:r>
        <w:t>3. NORMAS TÉCNICAS ADOTADAS</w:t>
      </w:r>
    </w:p>
    <w:p>
      <w:pPr>
        <w:spacing w:after="60"/>
        <w:ind w:left="454" w:hanging="283"/>
      </w:pPr>
      <w:r>
        <w:t>- NBR 5422:2024, 4.5 a 4.8 – densidade relativa do ar, umidade absoluta e fatores de correção atmosférica.</w:t>
      </w:r>
    </w:p>
    <w:p>
      <w:pPr>
        <w:spacing w:after="60"/>
        <w:ind w:left="454" w:hanging="283"/>
      </w:pPr>
      <w:r>
        <w:t>- NBR 5422:2024, 9.1 a 9.6 – projeto do isolamento: fuga, frequência fundamental, frente lenta, frente rápida e balanço dos condutores.</w:t>
      </w:r>
    </w:p>
    <w:p>
      <w:pPr>
        <w:spacing w:after="60"/>
        <w:ind w:left="454" w:hanging="283"/>
      </w:pPr>
      <w:r>
        <w:t>- NBR 5422:2024, Anexo C – fatores de gap kg (Tabelas C.1 e C.3) e fator estatístico Kcs (C.3).</w:t>
      </w:r>
    </w:p>
    <w:p>
      <w:pPr>
        <w:spacing w:after="60"/>
        <w:ind w:left="454" w:hanging="283"/>
      </w:pPr>
      <w:r>
        <w:t>- NBR 5422:2024, 14.2 – carga nas cadeias: ≤ 40 % da carga de ruptura sem vento e ≤ 60 % com vento/construção/manutenção.</w:t>
      </w:r>
    </w:p>
    <w:p>
      <w:pPr>
        <w:spacing w:after="60"/>
        <w:ind w:left="454" w:hanging="283"/>
      </w:pPr>
      <w:r>
        <w:t>- Diretrizes de projeto básico 3.2.13, 4.7 e 6.8 – margens de coordenação, para-raios de ZnO e desempenho (60 Hz, manobra, descargas).</w:t>
      </w:r>
    </w:p>
    <w:p>
      <w:pPr>
        <w:spacing w:after="60"/>
        <w:ind w:left="454" w:hanging="283"/>
      </w:pPr>
      <w:r>
        <w:t>- IEC 60815 (poluição), IEC 60099 (para-raios), IEC 61472 / IEEE 516 (distâncias de trabalho): não constam no acervo; valores ligados a elas são informados pelo usuário ou marcados para validação.</w:t>
      </w:r>
    </w:p>
    <w:p>
      <w:pPr>
        <w:pStyle w:val="TítuloBKprincipal"/>
      </w:pPr>
      <w:r>
        <w:t>4. METODOLOGIA DE CÁLCULO</w:t>
      </w:r>
    </w:p>
    <w:p>
      <w:pPr>
        <w:pStyle w:val="SubtítuloBK"/>
      </w:pPr>
      <w:r>
        <w:t>4.1. Fatores atmosféricos (NBR 5422, 4.5 a 4.8)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r>
          <m:t xml:space="preserve">δ</m:t>
        </m:r>
        <m:r>
          <m:rPr>
            <m:sty m:val="p"/>
          </m:rPr>
          <m:t xml:space="preserve">=</m:t>
        </m:r>
        <m:f>
          <m:num>
            <m:r>
              <m:t xml:space="preserve">p</m:t>
            </m:r>
          </m:num>
          <m:den>
            <m:sSub>
              <m:e>
                <m:r>
                  <m:t xml:space="preserve">p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den>
        </m:f>
        <m:r>
          <m:rPr>
            <m:sty m:val="p"/>
          </m:rPr>
          <m:t xml:space="preserve">·</m:t>
        </m:r>
        <m:f>
          <m:num>
            <m:r>
              <m:rPr>
                <m:sty m:val="p"/>
              </m:rPr>
              <m:t xml:space="preserve">273+</m:t>
            </m:r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rPr>
                <m:sty m:val="p"/>
              </m:rPr>
              <m:t xml:space="preserve">273+</m:t>
            </m:r>
            <m:r>
              <m:t xml:space="preserve">t</m:t>
            </m:r>
          </m:den>
        </m:f>
        <m:r>
          <m:rPr>
            <m:sty m:val="p"/>
          </m:rPr>
          <m:t xml:space="preserve"> ;  </m:t>
        </m:r>
        <m:sSub>
          <m:e>
            <m:r>
              <m:t xml:space="preserve">H</m:t>
            </m:r>
          </m:e>
          <m:sub>
            <m:r>
              <m:t xml:space="preserve">c</m:t>
            </m:r>
          </m:sub>
        </m:sSub>
        <m:r>
          <m:rPr>
            <m:sty m:val="p"/>
          </m:rPr>
          <m:t xml:space="preserve">=1+0,012</m:t>
        </m:r>
        <m:d>
          <m:e>
            <m:f>
              <m:num>
                <m:r>
                  <m:t xml:space="preserve">H</m:t>
                </m:r>
              </m:num>
              <m:den>
                <m:r>
                  <m:t xml:space="preserve">δ</m:t>
                </m:r>
              </m:den>
            </m:f>
            <m:r>
              <m:rPr>
                <m:sty m:val="p"/>
              </m:rPr>
              <m:t xml:space="preserve">−11</m:t>
            </m:r>
          </m:e>
        </m:d>
      </m:oMath>
      <w:r>
        <w:tab/>
        <w:t>(1)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δ — densidade relativa do ar [—]</w:t>
      </w:r>
    </w:p>
    <w:p>
      <w:pPr>
        <w:spacing w:after="60"/>
        <w:ind w:left="454" w:hanging="283"/>
      </w:pPr>
      <w:r>
        <w:t>- H — umidade absoluta [g/m³]</w:t>
      </w:r>
    </w:p>
    <w:p>
      <w:pPr>
        <w:spacing w:after="60"/>
        <w:ind w:left="454" w:hanging="283"/>
      </w:pPr>
      <w:r>
        <w:t>- p0, t0 — 1013 hPa e 20 °C [—]</w:t>
      </w:r>
    </w:p>
    <w:p>
      <w:r>
        <w:rPr>
          <w:i w:val="0"/>
        </w:rPr>
        <w:t>Sem medição local, δ e H são estimadas por altitude e coordenadas (4.5.3 e 4.6.3). Os fatores são kaff = δ (frequência fundamental), kafl = (δ·Hc)^m2 em tempo seco ou δ^m2 sob chuva, com m2 = 1,25·G0·(G0 − 0,2) e G0 função da distância no ar (processo iterativo), e kafr = δ (frente rápida). Para frente lenta adota-se o caso que resulta em maior distância.</w:t>
      </w:r>
    </w:p>
    <w:p>
      <w:pPr>
        <w:pStyle w:val="SubtítuloBK"/>
      </w:pPr>
      <w:r>
        <w:t>4.2. Distâncias no ar (9.3 a 9.5)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d</m:t>
            </m:r>
          </m:e>
          <m:sub>
            <m:r>
              <m:rPr>
                <m:sty m:val="p"/>
              </m:rPr>
              <m:t xml:space="preserve">ft,ff</m:t>
            </m:r>
          </m:sub>
        </m:sSub>
        <m:r>
          <m:rPr>
            <m:sty m:val="p"/>
          </m:rPr>
          <m:t xml:space="preserve">=1,642</m:t>
        </m:r>
        <m:sSup>
          <m:e>
            <m:r>
              <m:rPr>
                <m:sty m:val="p"/>
              </m:rPr>
              <m:t xml:space="preserve">[</m:t>
            </m:r>
            <m:sSup>
              <m:e>
                <m:r>
                  <m:t xml:space="preserve">e</m:t>
                </m:r>
              </m:e>
              <m:sup>
                <m:f>
                  <m:num>
                    <m:f>
                      <m:num>
                        <m:sSub>
                          <m:e>
                            <m:r>
                              <m:t xml:space="preserve">U</m:t>
                            </m:r>
                          </m:e>
                          <m:sub>
                            <m:r>
                              <m:t xml:space="preserve">s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 xml:space="preserve">3</m:t>
                            </m:r>
                          </m:e>
                        </m:rad>
                      </m:den>
                    </m:f>
                    <m:sSub>
                      <m:e>
                        <m:r>
                          <m:t xml:space="preserve">F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tmo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 xml:space="preserve">750</m:t>
                    </m:r>
                    <m:sSub>
                      <m:e>
                        <m:r>
                          <m:t xml:space="preserve">k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aff</m:t>
                        </m:r>
                      </m:sub>
                    </m:sSub>
                    <m:sSub>
                      <m:e>
                        <m:r>
                          <m:t xml:space="preserve">k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zff</m:t>
                        </m:r>
                      </m:sub>
                    </m:sSub>
                    <m:sSub>
                      <m:e>
                        <m:r>
                          <m:t xml:space="preserve">k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gff</m:t>
                        </m:r>
                      </m:sub>
                    </m:sSub>
                  </m:den>
                </m:f>
              </m:sup>
            </m:sSup>
            <m:r>
              <m:rPr>
                <m:sty m:val="p"/>
              </m:rPr>
              <m:t xml:space="preserve">−1]</m:t>
            </m:r>
          </m:e>
          <m:sup>
            <m:r>
              <m:rPr>
                <m:sty m:val="p"/>
              </m:rPr>
              <m:t xml:space="preserve">0,83</m:t>
            </m:r>
          </m:sup>
        </m:sSup>
      </m:oMath>
      <w:r>
        <w:tab/>
        <w:t>(2)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d</m:t>
            </m:r>
          </m:e>
          <m:sub>
            <m:r>
              <m:rPr>
                <m:sty m:val="p"/>
              </m:rPr>
              <m:t xml:space="preserve">ft,fl</m:t>
            </m:r>
          </m:sub>
        </m:sSub>
        <m:r>
          <m:rPr>
            <m:sty m:val="p"/>
          </m:rPr>
          <m:t xml:space="preserve">=2,174</m:t>
        </m:r>
        <m:r>
          <m:rPr>
            <m:sty m:val="p"/>
          </m:rPr>
          <m:t xml:space="preserve">[</m:t>
        </m:r>
        <m:sSup>
          <m:e>
            <m:r>
              <m:t xml:space="preserve">e</m:t>
            </m:r>
          </m:e>
          <m:sup>
            <m:f>
              <m:num>
                <m:sSub>
                  <m:e>
                    <m: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m:t xml:space="preserve">cs</m:t>
                    </m:r>
                  </m:sub>
                </m:sSub>
                <m:f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m:rPr>
                            <m:sty m:val="p"/>
                          </m:rPr>
                          <m:t xml:space="preserve">2</m:t>
                        </m:r>
                      </m:e>
                    </m:rad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>
                            <m:sty m:val="p"/>
                          </m:rPr>
                          <m:t xml:space="preserve">3</m:t>
                        </m:r>
                      </m:e>
                    </m:rad>
                  </m:den>
                </m:f>
                <m:sSub>
                  <m:e>
                    <m:r>
                      <m:t xml:space="preserve">U</m:t>
                    </m:r>
                  </m:e>
                  <m:sub>
                    <m:r>
                      <m:t xml:space="preserve">s</m:t>
                    </m:r>
                  </m:sub>
                </m:sSub>
                <m:sSub>
                  <m:e>
                    <m:r>
                      <m:t xml:space="preserve">F</m:t>
                    </m:r>
                  </m:e>
                  <m:sub>
                    <m:r>
                      <m:rPr>
                        <m:sty m:val="p"/>
                      </m:rPr>
                      <m:t xml:space="preserve">sfl</m:t>
                    </m:r>
                  </m:sub>
                </m:sSub>
              </m:num>
              <m:den>
                <m:r>
                  <m:rPr>
                    <m:sty m:val="p"/>
                  </m:rPr>
                  <m:t xml:space="preserve">1080</m:t>
                </m:r>
                <m:sSub>
                  <m:e>
                    <m: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m:t xml:space="preserve">afl</m:t>
                    </m:r>
                  </m:sub>
                </m:sSub>
                <m:sSub>
                  <m:e>
                    <m: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m:t xml:space="preserve">zfl</m:t>
                    </m:r>
                  </m:sub>
                </m:sSub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g</m:t>
                    </m:r>
                  </m:sub>
                </m:sSub>
              </m:den>
            </m:f>
          </m:sup>
        </m:sSup>
        <m:r>
          <m:rPr>
            <m:sty m:val="p"/>
          </m:rPr>
          <m:t xml:space="preserve">−1]</m:t>
        </m:r>
      </m:oMath>
      <w:r>
        <w:tab/>
        <w:t>(3)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d</m:t>
            </m:r>
          </m:e>
          <m:sub>
            <m:r>
              <m:rPr>
                <m:sty m:val="p"/>
              </m:rPr>
              <m:t xml:space="preserve">ft,fr</m:t>
            </m:r>
          </m:sub>
        </m:sSub>
        <m:r>
          <m:rPr>
            <m:sty m:val="p"/>
          </m:rPr>
          <m:t xml:space="preserve">=máx</m:t>
        </m:r>
        <m:d>
          <m:e>
            <m:f>
              <m:num>
                <m:sSub>
                  <m:e>
                    <m:r>
                      <m:t xml:space="preserve">U</m:t>
                    </m:r>
                  </m:e>
                  <m:sub>
                    <m:r>
                      <m:rPr>
                        <m:sty m:val="p"/>
                      </m:rPr>
                      <m:t xml:space="preserve">fr</m:t>
                    </m:r>
                  </m:sub>
                </m:sSub>
              </m:num>
              <m:den>
                <m:r>
                  <m:rPr>
                    <m:sty m:val="p"/>
                  </m:rPr>
                  <m:t xml:space="preserve">530</m:t>
                </m:r>
                <m:sSub>
                  <m:e>
                    <m: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m:t xml:space="preserve">afr</m:t>
                    </m:r>
                  </m:sub>
                </m:sSub>
                <m:sSub>
                  <m:e>
                    <m: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m:t xml:space="preserve">zfr</m:t>
                    </m:r>
                  </m:sub>
                </m:sSub>
                <m:sSub>
                  <m:e>
                    <m: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m:t xml:space="preserve">gfr+</m:t>
                    </m:r>
                  </m:sub>
                </m:sSub>
              </m:den>
            </m:f>
            <m:r>
              <m:rPr>
                <m:sty m:val="p"/>
              </m:rPr>
              <m:t xml:space="preserve"> ; </m:t>
            </m:r>
            <m:f>
              <m:num>
                <m:sSub>
                  <m:e>
                    <m:r>
                      <m:t xml:space="preserve">U</m:t>
                    </m:r>
                  </m:e>
                  <m:sub>
                    <m:r>
                      <m:rPr>
                        <m:sty m:val="p"/>
                      </m:rPr>
                      <m:t xml:space="preserve">fr</m:t>
                    </m:r>
                  </m:sub>
                </m:sSub>
              </m:num>
              <m:den>
                <m:r>
                  <m:rPr>
                    <m:sty m:val="p"/>
                  </m:rPr>
                  <m:t xml:space="preserve">700</m:t>
                </m:r>
                <m:sSub>
                  <m:e>
                    <m: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m:t xml:space="preserve">afr</m:t>
                    </m:r>
                  </m:sub>
                </m:sSub>
                <m:sSub>
                  <m:e>
                    <m: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m:t xml:space="preserve">zfr</m:t>
                    </m:r>
                  </m:sub>
                </m:sSub>
                <m:sSub>
                  <m:e>
                    <m: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m:t xml:space="preserve">gfr−</m:t>
                    </m:r>
                  </m:sub>
                </m:sSub>
              </m:den>
            </m:f>
          </m:e>
        </m:d>
      </m:oMath>
      <w:r>
        <w:tab/>
        <w:t>(4)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Us — tensão máxima do sistema (eficaz, fase-fase) [kV]</w:t>
      </w:r>
    </w:p>
    <w:p>
      <w:pPr>
        <w:spacing w:after="60"/>
        <w:ind w:left="454" w:hanging="283"/>
      </w:pPr>
      <w:r>
        <w:t>- Ftmo — fator de tensão máxima de operação [—]</w:t>
      </w:r>
    </w:p>
    <w:p>
      <w:pPr>
        <w:spacing w:after="60"/>
        <w:ind w:left="454" w:hanging="283"/>
      </w:pPr>
      <w:r>
        <w:t>- Fsfl — fator de sobretensão de manobra (Tabela 14 ou estudo) [—]</w:t>
      </w:r>
    </w:p>
    <w:p>
      <w:pPr>
        <w:spacing w:after="60"/>
        <w:ind w:left="454" w:hanging="283"/>
      </w:pPr>
      <w:r>
        <w:t>- Kcs — fator estatístico (Anexo C.3) [—]</w:t>
      </w:r>
    </w:p>
    <w:p>
      <w:pPr>
        <w:spacing w:after="60"/>
        <w:ind w:left="454" w:hanging="283"/>
      </w:pPr>
      <w:r>
        <w:t>- kg — fator de gap (Tabela C.1 / C.3) [—]</w:t>
      </w:r>
    </w:p>
    <w:p>
      <w:pPr>
        <w:spacing w:after="60"/>
        <w:ind w:left="454" w:hanging="283"/>
      </w:pPr>
      <w:r>
        <w:t>- Ufr — tensão suportável de frente rápida (Tabela 15) [kV crista]</w:t>
      </w:r>
    </w:p>
    <w:p>
      <w:r>
        <w:rPr>
          <w:i w:val="0"/>
        </w:rPr>
        <w:t>Fase-fase: d_ff,ff pela mesma forma de 9.3.2 com Us e kg da Tabela C.3; d_ff,fl por 9.4.2 com rs·Fsfl (até 4 m) ou pela expressão de U50 % (4 a 10 m); d_ff,fr = 1,2·Ufr/(530·kafr·kzfr·kgfr+). O fator Kcs é obtido do risco de falha admitido, com modelo gaussiano para sobretensão (CVsfl) e para a rigidez do gap (CVfl) em n gaps em paralelo.</w:t>
      </w:r>
    </w:p>
    <w:p>
      <w:pPr>
        <w:pStyle w:val="SubtítuloBK"/>
      </w:pPr>
      <w:r>
        <w:t>4.3. Isoladores (9.3.1, 14.2 e livro de Projeto Elétrico)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N</m:t>
            </m:r>
          </m:e>
          <m:sub>
            <m:r>
              <m:rPr>
                <m:sty m:val="p"/>
              </m:rPr>
              <m:t xml:space="preserve">fuga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d</m:t>
                </m:r>
              </m:e>
              <m:sub>
                <m:r>
                  <m:rPr>
                    <m:sty m:val="p"/>
                  </m:rPr>
                  <m:t xml:space="preserve">fe</m:t>
                </m:r>
              </m:sub>
            </m:sSub>
            <m:sSub>
              <m:e>
                <m:r>
                  <m:t xml:space="preserve">U</m:t>
                </m:r>
              </m:e>
              <m:sub>
                <m:r>
                  <m:t xml:space="preserve">m</m:t>
                </m:r>
              </m:sub>
            </m:sSub>
          </m:num>
          <m:den>
            <m:sSub>
              <m:e>
                <m:r>
                  <m:t xml:space="preserve">c</m:t>
                </m:r>
              </m:e>
              <m:sub>
                <m:r>
                  <m:rPr>
                    <m:sty m:val="p"/>
                  </m:rPr>
                  <m:t xml:space="preserve">u</m:t>
                </m:r>
              </m:sub>
            </m:sSub>
          </m:den>
        </m:f>
        <m:r>
          <m:rPr>
            <m:sty m:val="p"/>
          </m:rPr>
          <m:t xml:space="preserve"> ;  </m:t>
        </m:r>
        <m:sSub>
          <m:e>
            <m:r>
              <m:t xml:space="preserve">N</m:t>
            </m:r>
          </m:e>
          <m:sub>
            <m:r>
              <m:rPr>
                <m:sty m:val="p"/>
              </m:rPr>
              <m:t xml:space="preserve">arco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d</m:t>
                </m:r>
              </m:e>
              <m:sub>
                <m:r>
                  <m:rPr>
                    <m:sty m:val="p"/>
                  </m:rPr>
                  <m:t xml:space="preserve">req</m:t>
                </m:r>
              </m:sub>
            </m:sSub>
          </m:num>
          <m:den>
            <m:r>
              <m:t xml:space="preserve">p</m:t>
            </m:r>
          </m:den>
        </m:f>
      </m:oMath>
      <w:r>
        <w:tab/>
        <w:t>(5)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dfe — fuga específica adotada [mm/kV]</w:t>
      </w:r>
    </w:p>
    <w:p>
      <w:pPr>
        <w:spacing w:after="60"/>
        <w:ind w:left="454" w:hanging="283"/>
      </w:pPr>
      <w:r>
        <w:t>- Um — tensão máxima fase-fase [kV]</w:t>
      </w:r>
    </w:p>
    <w:p>
      <w:pPr>
        <w:spacing w:after="60"/>
        <w:ind w:left="454" w:hanging="283"/>
      </w:pPr>
      <w:r>
        <w:t>- cu — fuga de uma unidade [mm]</w:t>
      </w:r>
    </w:p>
    <w:p>
      <w:pPr>
        <w:spacing w:after="60"/>
        <w:ind w:left="454" w:hanging="283"/>
      </w:pPr>
      <w:r>
        <w:t>- dreq — maior distância fase-terra exigida [m]</w:t>
      </w:r>
    </w:p>
    <w:p>
      <w:pPr>
        <w:spacing w:after="60"/>
        <w:ind w:left="454" w:hanging="283"/>
      </w:pPr>
      <w:r>
        <w:t>- p — passo do isolador [m]</w:t>
      </w:r>
    </w:p>
    <w:p>
      <w:r>
        <w:rPr>
          <w:i w:val="0"/>
        </w:rPr>
        <w:t>O número adotado é o maior entre o da fuga e o do arco. Como conferência, o método convencional (Projeto Elétrico de LTs, 4.6.1) usa N = Vn/15 em suspensão e +1 em ancoragem, e o gradiente GI = (fuga total)/Vmax. A distribuição de tensão na cadeia usa escada capacitiva com capacitância à terra por junção c1 e própria C.</w:t>
      </w:r>
    </w:p>
    <w:p>
      <w:pPr>
        <w:pStyle w:val="SubtítuloBK"/>
      </w:pPr>
      <w:r>
        <w:t>4.4. Balanço dos condutores (8.9 e 9.6)</w:t>
      </w:r>
    </w:p>
    <w:p>
      <w:r>
        <w:rPr>
          <w:i w:val="0"/>
        </w:rPr>
        <w:t>O ângulo β vem de 8.9 (β = atan[K·q0·d·Lm/(p·Lp)]), com βmax/βmin = β ± 2σβ. Vento de frequência fundamental: TR ≥ 10 anos; frente lenta: TR ≥ 2 anos; frente rápida: sem vento. Condutor-estrutura com βmax; fase-fase com uma fase em βmax e a outra em βmin no mesmo sentido, no apoio e no meio do vão.</w:t>
      </w:r>
    </w:p>
    <w:p>
      <w:pPr>
        <w:pStyle w:val="TítuloBKprincipal"/>
      </w:pPr>
      <w:r>
        <w:t>5. DADOS DE ENTRADA E CONSIDERAÇÕES GERAIS</w:t>
      </w:r>
    </w:p>
    <w:p>
      <w:pPr>
        <w:keepNext/>
        <w:jc w:val="left"/>
      </w:pPr>
      <w:r>
        <w:rPr>
          <w:b/>
          <w:sz w:val="20"/>
        </w:rPr>
        <w:t>Tabela 2 – Dados de entrada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Origem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nominal / máxima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138 / 145,0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Módulo 1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Altitude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870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Informado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Latitude / longitude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-23,50 / -46,60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°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Informado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δ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0,9081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Sem medições (NBR 5422, 4.5.3)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H / Hc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10,99 / 1,013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g/m³ · 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NBR 5422, 4.6 e 4.8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Fsfl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3,00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Tabela 14 (9.4.3.1)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rs / α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1,40 / 0,50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9.4.2 (rs padrão 1,4)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kg fase-terra / fase-fase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1,45 / 1,80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C.1: Braço de torre; C.3: Anel–anel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CVsfl / CVfl / n gaps / risco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15,0 % / 5,0 % / 3 / 1e-03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(Anexo C.3)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Kcs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1,121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Calculado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Ufr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820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Tabela 15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Tipo de isolador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Vidro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Informado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Fuga específica adotada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16,0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mm/kV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IEC 60815 (1986) nível I – Leve – Celesc E-313.0058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Tipo de cadeia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Suspensão em I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Informado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Passo / fuga por unidade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146 / 292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Informado</w:t>
            </w:r>
          </w:p>
        </w:tc>
      </w:tr>
    </w:tbl>
    <w:p>
      <w:pPr>
        <w:spacing w:after="40"/>
      </w:pPr>
    </w:p>
    <w:p>
      <w:pPr>
        <w:pStyle w:val="SubtítuloBK"/>
      </w:pPr>
      <w:r>
        <w:t>5.1. Dados não informados e premissas</w:t>
      </w:r>
    </w:p>
    <w:p>
      <w:r>
        <w:rPr>
          <w:b/>
        </w:rPr>
        <w:t xml:space="preserve">DADO NÃO INFORMADO — </w:t>
      </w:r>
      <w:r>
        <w:rPr>
          <w:i w:val="0"/>
        </w:rPr>
        <w:t>Tabela 6.4 das Diretrizes (risco de falha por manobra) não está legível no acervo: o risco adotado é premissa do usuário.</w:t>
      </w:r>
    </w:p>
    <w:p>
      <w:r>
        <w:rPr>
          <w:b/>
        </w:rPr>
        <w:t xml:space="preserve">NECESSITA VALIDAÇÃO TÉCNICA — </w:t>
      </w:r>
      <w:r>
        <w:rPr>
          <w:i w:val="0"/>
        </w:rPr>
        <w:t>valores de fuga de IEC/TS 60815-1 não foram verificados contra a norma; os de IEC 60815 (1986) vêm de especificação da Celesc (E-313.0058).</w:t>
      </w:r>
    </w:p>
    <w:p>
      <w:r>
        <w:rPr>
          <w:b/>
        </w:rPr>
        <w:t xml:space="preserve">PREMISSA — </w:t>
      </w:r>
      <w:r>
        <w:rPr>
          <w:i w:val="0"/>
        </w:rPr>
        <w:t>latitude e longitude entram em valor absoluto nas fórmulas de 4.5.3 e 4.6.3; o comprimento de ferragens não foi somado à distância de arco.</w:t>
      </w:r>
    </w:p>
    <w:p>
      <w:r>
        <w:rPr>
          <w:b/>
        </w:rPr>
        <w:t xml:space="preserve">NECESSITA VALIDAÇÃO TÉCNICA — </w:t>
      </w:r>
      <w:r>
        <w:rPr>
          <w:i w:val="0"/>
        </w:rPr>
        <w:t>o modelo de Kcs (Anexo C.3) foi reconstituído em forma analítica; conferir com a Figura C.1 da norma.</w:t>
      </w:r>
    </w:p>
    <w:p>
      <w:r>
        <w:rPr>
          <w:b/>
        </w:rPr>
        <w:t xml:space="preserve">NECESSITA VALIDAÇÃO TÉCNICA — </w:t>
      </w:r>
      <w:r>
        <w:rPr>
          <w:i w:val="0"/>
        </w:rPr>
        <w:t>9.5.3.3: a distância de frente rápida supera a de frequência fundamental — exige estudo de desempenho a descargas atmosféricas (Módulo 16).</w:t>
      </w:r>
    </w:p>
    <w:p>
      <w:r>
        <w:rPr>
          <w:b/>
        </w:rPr>
        <w:t xml:space="preserve">NECESSITA VALIDAÇÃO TÉCNICA — </w:t>
      </w:r>
      <w:r>
        <w:rPr>
          <w:i w:val="0"/>
        </w:rPr>
        <w:t>Edital TAESA: critérios de desempenho a raios exigem ao menos dois cabos para-raios.</w:t>
      </w:r>
    </w:p>
    <w:p>
      <w:pPr>
        <w:pStyle w:val="TítuloBKprincipal"/>
      </w:pPr>
      <w:r>
        <w:t>6. DIMENSIONAMENTO E VERIFICAÇÕES</w:t>
      </w:r>
    </w:p>
    <w:p>
      <w:pPr>
        <w:pStyle w:val="SubtítuloBK"/>
      </w:pPr>
      <w:r>
        <w:t>6.1. Fatores atmosféricos e Kcs</w:t>
      </w:r>
    </w:p>
    <w:p>
      <w:pPr>
        <w:jc w:val="left"/>
      </w:pPr>
      <w:r>
        <w:rPr>
          <w:b/>
        </w:rPr>
        <w:t xml:space="preserve">Resultado: </w:t>
      </w:r>
      <w:r>
        <w:rPr>
          <w:i w:val="0"/>
        </w:rPr>
        <w:t>δ = 0,9081; H = 10,99 g/m³; Hc = 1,013; kaff = 0,9081; kafl = 0,9349; kafr = 0,9081; Kcs = 1,121.</w:t>
      </w:r>
    </w:p>
    <w:p>
      <w:pPr>
        <w:pStyle w:val="SubtítuloBK"/>
      </w:pPr>
      <w:r>
        <w:t>6.2. Distâncias mínimas no ar</w:t>
      </w:r>
    </w:p>
    <w:p>
      <w:pPr>
        <w:keepNext/>
        <w:jc w:val="left"/>
      </w:pPr>
      <w:r>
        <w:rPr>
          <w:b/>
          <w:sz w:val="20"/>
        </w:rPr>
        <w:t>Tabela 3 – Distâncias no ar exigidas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Solicitação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Fase-terra (m)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Fase-fase (m)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Frequência fundamental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0,276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0,428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9.3.2 / 9.3.3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Frente lenta (manobra)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0,746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0,855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9.4.1 / 9.4.2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Frente rápida (descarga)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1,721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1,761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9.5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Trabalho em linha viva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não informado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7.5 (IEC 61472 / IEEE 516)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Exigida (máximo)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1,721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1,761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</w:rPr>
        <w:t xml:space="preserve">Observação: </w:t>
      </w:r>
      <w:r>
        <w:rPr>
          <w:i w:val="0"/>
        </w:rPr>
        <w:t>frente rápida: polaridade positiva 1,587 m e negativa 1,721 m; vale a maior (9.5).</w:t>
      </w:r>
    </w:p>
    <w:p>
      <w:r>
        <w:rPr>
          <w:b/>
        </w:rPr>
        <w:t xml:space="preserve">NECESSITA VALIDAÇÃO TÉCNICA — </w:t>
      </w:r>
      <w:r>
        <w:rPr>
          <w:i w:val="0"/>
        </w:rPr>
        <w:t>a distância de frente rápida supera a de frequência fundamental; a NBR 5422 (9.5.3.3) exige estudo de desempenho a descargas atmosféricas.</w:t>
      </w:r>
    </w:p>
    <w:p>
      <w:pPr>
        <w:pStyle w:val="SubtítuloBK"/>
      </w:pPr>
      <w:r>
        <w:t>6.3. Cadeia de isoladores</w:t>
      </w:r>
    </w:p>
    <w:p>
      <w:pPr>
        <w:keepNext/>
        <w:jc w:val="left"/>
      </w:pPr>
      <w:r>
        <w:rPr>
          <w:b/>
          <w:sz w:val="20"/>
        </w:rPr>
        <w:t>Tabela 4 – Cadeia de isoladores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Fuga específica adotada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mm/kV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Fuga necessária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2.320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 pela fuga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un.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 pela distância de arco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un.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Cadeia adotada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12 un.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Distância de arco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1,752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Fuga total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3.504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Gradiente GI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4,19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cm/kV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 pelo método convencional (Vn/15)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un.</w:t>
            </w:r>
          </w:p>
        </w:tc>
      </w:tr>
    </w:tbl>
    <w:p>
      <w:pPr>
        <w:spacing w:after="40"/>
      </w:pPr>
    </w:p>
    <w:p>
      <w:pPr>
        <w:keepNext/>
        <w:jc w:val="left"/>
      </w:pPr>
      <w:r>
        <w:rPr>
          <w:b/>
          <w:sz w:val="20"/>
        </w:rPr>
        <w:t>Tabela 5 – Verificações da cadeia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340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Fuga total ≥ necessária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3.504 ≥ 2.320 mm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Distância de arco ≥ exigida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1,752 ≥ 1,721 m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Cargas mecânicas (14.2)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carga de ruptura não informada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473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1 – Distribuição de tensão ao longo da cadeia</w:t>
      </w:r>
    </w:p>
    <w:p>
      <w:r>
        <w:rPr>
          <w:i w:val="0"/>
        </w:rPr>
        <w:t>Unidade mais solicitada: 22,6 kV (média 7,0 kV); eficiência da cadeia 31 %. Modelo sem capacitância à linha (conservador); PREMISSA c1/C informada.</w:t>
      </w:r>
    </w:p>
    <w:p>
      <w:pPr>
        <w:pStyle w:val="SubtítuloBK"/>
      </w:pPr>
      <w:r>
        <w:t>6.4. Balanço e distâncias com os condutores deslocados</w:t>
      </w:r>
    </w:p>
    <w:p>
      <w:pPr>
        <w:keepNext/>
        <w:jc w:val="left"/>
      </w:pPr>
      <w:r>
        <w:rPr>
          <w:b/>
          <w:sz w:val="20"/>
        </w:rPr>
        <w:t>Tabela 6 – Ângulos de balanço (8.9)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vento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β (°)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σβ (°)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βmax (°)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βmin (°)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33,0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2,23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37,4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28,5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manobra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24,9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2,15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29,2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20,6</w:t>
            </w:r>
          </w:p>
        </w:tc>
      </w:tr>
    </w:tbl>
    <w:p>
      <w:pPr>
        <w:spacing w:after="40"/>
      </w:pPr>
    </w:p>
    <w:p>
      <w:pPr>
        <w:keepNext/>
        <w:jc w:val="left"/>
      </w:pPr>
      <w:r>
        <w:rPr>
          <w:b/>
          <w:sz w:val="20"/>
        </w:rPr>
        <w:t>Tabela 7 – Condutor-estrutura: distância no balanço / exigida (m)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238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Freq. fundamental</w:t>
            </w:r>
          </w:p>
        </w:tc>
        <w:tc>
          <w:tcPr>
            <w:tcW w:type="dxa" w:w="238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Frente lenta</w:t>
            </w:r>
          </w:p>
        </w:tc>
        <w:tc>
          <w:tcPr>
            <w:tcW w:type="dxa" w:w="238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Frente rápida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1,63 / 0,28 ✓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1,79 / 0,75 ✓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2,05 / 1,72 ✓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2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0,75 / 0,28 ✓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0,50 / 0,75 ✗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0,50 / 1,72 ✗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3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1,63 / 0,28 ✓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1,79 / 0,75 ✓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2,05 / 1,72 ✓</w:t>
            </w:r>
          </w:p>
        </w:tc>
      </w:tr>
    </w:tbl>
    <w:p>
      <w:pPr>
        <w:spacing w:after="40"/>
      </w:pPr>
    </w:p>
    <w:p>
      <w:pPr>
        <w:keepNext/>
        <w:jc w:val="left"/>
      </w:pPr>
      <w:r>
        <w:rPr>
          <w:b/>
          <w:sz w:val="20"/>
        </w:rPr>
        <w:t>Tabela 8 – Distâncias fase-fase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Local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Solicitação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 (m)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Exigida (m)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1-2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apoio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Freq.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4,24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apoio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Freq.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8,73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2-3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apoio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Freq.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4,24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1-2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meio do vão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Freq.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3,36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meio do vão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Freq.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7,80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2-3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meio do vão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Freq.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3,36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1-2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apoio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Manobra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4,22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apoio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Manobra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8,72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2-3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apoio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Manobra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4,22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1-2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meio do vão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Manobra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3,26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meio do vão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Manobra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7,73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2-3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meio do vão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Manobra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3,26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0,85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1-2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apoio (sem vento)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Descarga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4,50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1,76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1-3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apoio (sem vento)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Descarga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9,00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1,76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 2-3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apoio (sem vento)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Descarga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4,50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1,76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5369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6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2 – Estrutura simplificada e cadeias deslocadas</w:t>
      </w:r>
    </w:p>
    <w:p>
      <w:r>
        <w:rPr>
          <w:i w:val="0"/>
        </w:rPr>
        <w:t>Silhueta simplificada (fuste e braços); a estrutura real deve ser verificada em modelo 3D (9.6.3).</w:t>
      </w:r>
    </w:p>
    <w:p>
      <w:r>
        <w:rPr>
          <w:b/>
        </w:rPr>
        <w:t xml:space="preserve">PENDENTE — </w:t>
      </w:r>
      <w:r>
        <w:rPr>
          <w:i w:val="0"/>
        </w:rPr>
        <w:t>distâncias entre condutores de linhas diferentes (7.4) e distância de trabalho em linha viva (7.5) não foram calculadas; informe a distância de trabalho para incluí-la.</w:t>
      </w:r>
    </w:p>
    <w:p>
      <w:pPr>
        <w:pStyle w:val="TítuloBKprincipal"/>
      </w:pPr>
      <w:r>
        <w:t>7. PARA-RAIOS E COORDENAÇÃO</w:t>
      </w:r>
    </w:p>
    <w:p>
      <w:pPr>
        <w:pStyle w:val="SubtítuloBK"/>
      </w:pPr>
      <w:r>
        <w:t>7.1. Para-raios de ZnO (Diretrizes 4.7)</w:t>
      </w:r>
    </w:p>
    <w:p>
      <w:r>
        <w:rPr>
          <w:i w:val="0"/>
        </w:rPr>
        <w:t>Para-raios de estação em entradas de linha, transformadores, reatores e bancos de capacitores sem autoproteção, conforme IEC 60099; Ur nunca acima do Ur do estudo.</w:t>
      </w:r>
    </w:p>
    <w:p>
      <w:pPr>
        <w:keepNext/>
        <w:jc w:val="left"/>
      </w:pPr>
      <w:r>
        <w:rPr>
          <w:b/>
          <w:sz w:val="20"/>
        </w:rPr>
        <w:t>Tabela 9 – Seleção preliminar do para-raios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Uc mínima (Um/√3)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83,7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de operação contínua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Ur pelo critério de Uc (Uc/Ur = 0,80)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104,6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TOV fase-terra (ke·Um/√3)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117,2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ke = 1,40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Ur pelo critério de TOV (Ktov = 1,10)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106,5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– curva do fabricante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Ur mínima / padronizada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106,5 / 108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múltiplos de 3 kV (PREMISSA)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Ur adotada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108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Catálogo / padronizada</w:t>
            </w:r>
          </w:p>
        </w:tc>
      </w:tr>
    </w:tbl>
    <w:p>
      <w:pPr>
        <w:spacing w:after="40"/>
      </w:pPr>
    </w:p>
    <w:p>
      <w:r>
        <w:rPr>
          <w:b/>
        </w:rPr>
        <w:t xml:space="preserve">PENDENTE — </w:t>
      </w:r>
      <w:r>
        <w:rPr>
          <w:i w:val="0"/>
        </w:rPr>
        <w:t>tensões residuais do catálogo (8/20 µs e 30/60 µs) e níveis de isolamento do equipamento não informados: margens de proteção não calculadas.</w:t>
      </w:r>
    </w:p>
    <w:p>
      <w:r>
        <w:rPr>
          <w:b/>
        </w:rPr>
        <w:t xml:space="preserve">NECESSITA VALIDAÇÃO TÉCNICA — </w:t>
      </w:r>
      <w:r>
        <w:rPr>
          <w:i w:val="0"/>
        </w:rPr>
        <w:t>seleção por IEC 60099-4/-5 (Ktov, classe de descarga de linha, separação para-raios-equipamento) deve ser validada com o fabricante e o estudo de transitórios.</w:t>
      </w:r>
    </w:p>
    <w:p>
      <w:pPr>
        <w:pStyle w:val="SubtítuloBK"/>
      </w:pPr>
      <w:r>
        <w:t>7.2. Margens de coordenação (Diretrizes 3.2.13)</w:t>
      </w:r>
    </w:p>
    <w:p>
      <w:r>
        <w:rPr>
          <w:i w:val="0"/>
        </w:rPr>
        <w:t>Margem de segurança de 5 % sobre o NBI para isolamento em ar autorrecuperante e de 15 % nos terminais de equipamentos; ondas de 1/50 µs (descarga direta) e 0,5/50 µs (indireta).</w:t>
      </w:r>
    </w:p>
    <w:p>
      <w:r>
        <w:rPr>
          <w:b/>
        </w:rPr>
        <w:t xml:space="preserve">PENDENTE — </w:t>
      </w:r>
      <w:r>
        <w:rPr>
          <w:i w:val="0"/>
        </w:rPr>
        <w:t>corrente de surto (modelo eletrogeométrico) e tensão induzida média não informadas; dependem do Módulo 16.</w:t>
      </w:r>
    </w:p>
    <w:p>
      <w:pPr>
        <w:pStyle w:val="SubtítuloBK"/>
      </w:pPr>
      <w:r>
        <w:t>7.3. Cabo para-raios e blindagem</w:t>
      </w:r>
    </w:p>
    <w:p>
      <w:r>
        <w:rPr>
          <w:b/>
        </w:rPr>
        <w:t xml:space="preserve">Dados: </w:t>
      </w:r>
      <w:r>
        <w:rPr>
          <w:i w:val="0"/>
        </w:rPr>
        <w:t>número de cabos para-raios: 1; ângulo de blindagem da geometria: 36,9°. O edital da TAESA exige ao menos dois cabos para-raios e falha de blindagem &lt; 0,01/100 km/ano; limite de desligamentos 1/100 km/ano (≥ 345 kV) e 2/100 km/ano (≤ 230 kV).</w:t>
      </w:r>
    </w:p>
    <w:p>
      <w:r>
        <w:rPr>
          <w:b/>
        </w:rPr>
        <w:t xml:space="preserve">PENDENTE — </w:t>
      </w:r>
      <w:r>
        <w:rPr>
          <w:i w:val="0"/>
        </w:rPr>
        <w:t>taxa de desligamento por falha de blindagem e por backflashover (modelo eletrogeométrico, soma com Módulo 6) não foi calculada.</w:t>
      </w:r>
    </w:p>
    <w:p>
      <w:pPr>
        <w:pStyle w:val="TítuloBKprincipal"/>
      </w:pPr>
      <w:r>
        <w:t>8. RESULTADOS OBTIDOS</w:t>
      </w:r>
    </w:p>
    <w:p>
      <w:pPr>
        <w:keepNext/>
        <w:jc w:val="left"/>
      </w:pPr>
      <w:r>
        <w:rPr>
          <w:b/>
          <w:sz w:val="20"/>
        </w:rPr>
        <w:t>Tabela 10 – Resumo das verificações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Limite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Distância de arco da cadeia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1,752 m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≥ 1,721 m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Fuga total da cadeia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3.504 mm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≥ 2.320 mm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Condutor-estrutura com balanço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ver tabela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≥ exigida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NÃO ATENDE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Fase-fase com balanço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ver tabela</w:t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≥ exigida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</w:tbl>
    <w:p>
      <w:pPr>
        <w:spacing w:after="40"/>
      </w:pPr>
    </w:p>
    <w:p>
      <w:r>
        <w:rPr>
          <w:b/>
        </w:rPr>
        <w:t xml:space="preserve">RESULTADO: </w:t>
      </w:r>
      <w:r>
        <w:rPr>
          <w:i w:val="0"/>
        </w:rPr>
        <w:t>12 isoladores por cadeia, com distância de arco de 1,75 m.</w:t>
      </w:r>
    </w:p>
    <w:p>
      <w:pPr>
        <w:pStyle w:val="TítuloBKprincipal"/>
      </w:pPr>
      <w:r>
        <w:t>9. CONCLUSÕES</w:t>
      </w:r>
    </w:p>
    <w:p>
      <w:pPr>
        <w:spacing w:after="60"/>
        <w:ind w:left="454" w:hanging="283"/>
      </w:pPr>
      <w:r>
        <w:t>- Cadeia adotada: 12 isoladores; fuga específica 16,0 mm/kV; distância de arco 1,75 m.</w:t>
      </w:r>
    </w:p>
    <w:p>
      <w:pPr>
        <w:spacing w:after="60"/>
        <w:ind w:left="454" w:hanging="283"/>
      </w:pPr>
      <w:r>
        <w:t>- Distâncias exigidas: fase-terra 1,72 m e fase-fase 1,76 m.</w:t>
      </w:r>
    </w:p>
    <w:p>
      <w:pPr>
        <w:spacing w:after="60"/>
        <w:ind w:left="454" w:hanging="283"/>
      </w:pPr>
      <w:r>
        <w:t>- Para-raios: Ur adotada 108 kV (mínima padronizada 108 kV).</w:t>
      </w:r>
    </w:p>
    <w:p>
      <w:pPr>
        <w:jc w:val="left"/>
      </w:pPr>
      <w:r>
        <w:rPr>
          <w:b/>
          <w:i w:val="0"/>
        </w:rPr>
        <w:t>Recomendações:</w:t>
      </w:r>
    </w:p>
    <w:p>
      <w:pPr>
        <w:spacing w:after="60"/>
        <w:ind w:left="454" w:hanging="283"/>
      </w:pPr>
      <w:r>
        <w:t>- Rodar estudo de transitórios (EMT) para Fsfl, risco e energia dos para-raios, substituindo os valores de Tabela 14 e premissas.</w:t>
      </w:r>
    </w:p>
    <w:p>
      <w:pPr>
        <w:spacing w:after="60"/>
        <w:ind w:left="454" w:hanging="283"/>
      </w:pPr>
      <w:r>
        <w:t>- Validar a classe de poluição (IEC/TS 60815) e a fuga específica com a transmissora.</w:t>
      </w:r>
    </w:p>
    <w:p>
      <w:pPr>
        <w:spacing w:after="60"/>
        <w:ind w:left="454" w:hanging="283"/>
      </w:pPr>
      <w:r>
        <w:t>- Verificar o desempenho a descargas atmosféricas (Módulo 16) quando a distância de frente rápida superar a de 60 Hz.</w:t>
      </w:r>
    </w:p>
    <w:p>
      <w:pPr>
        <w:spacing w:after="60"/>
        <w:ind w:left="454" w:hanging="283"/>
      </w:pPr>
      <w:r>
        <w:t>- Conferir o balanço com a estrutura real em modelo 3D.</w:t>
      </w:r>
    </w:p>
    <w:p>
      <w:r>
        <w:rPr>
          <w:b/>
        </w:rPr>
        <w:t xml:space="preserve">O que falta para eu informar com certeza: </w:t>
      </w:r>
      <w:r>
        <w:rPr>
          <w:i w:val="0"/>
        </w:rPr>
        <w:t>Grau de confiança: médio. Fórmulas das Seções 4 e 9 transcritas da NBR 5422:2024; o Kcs é modelo reconstituído e deve ser conferido com a Figura C.1; dependem de premissas o risco admitido, a classe de poluição, os parâmetros de capacitância da cadeia, os dados do catálogo de para-raios, a silhueta simplificada da estrutura e as distâncias de trabalho (IEC 61472 / IEEE 516), que não constam no acervo.</w:t>
      </w:r>
    </w:p>
    <w:p>
      <w:pPr>
        <w:pStyle w:val="TítuloBKprincipal"/>
      </w:pPr>
      <w:r>
        <w:t>10. REFERÊNCIAS BIBLIOGRÁFICAS</w:t>
      </w:r>
    </w:p>
    <w:p>
      <w:pPr>
        <w:spacing w:after="60"/>
        <w:ind w:left="454" w:hanging="283"/>
      </w:pPr>
      <w:r>
        <w:t>- ABNT NBR 5422:2024 – Projeto de linhas aéreas de transmissão de energia elétrica.</w:t>
      </w:r>
    </w:p>
    <w:p>
      <w:pPr>
        <w:spacing w:after="60"/>
        <w:ind w:left="454" w:hanging="283"/>
      </w:pPr>
      <w:r>
        <w:t>- Diretrizes para a elaboração de projetos básicos para empreendimentos de transmissão (itens 3.2.13, 4.7 e 6.8).</w:t>
      </w:r>
    </w:p>
    <w:p>
      <w:pPr>
        <w:spacing w:after="60"/>
        <w:ind w:left="454" w:hanging="283"/>
      </w:pPr>
      <w:r>
        <w:t>- Projeto Elétrico de Linhas de Transmissão – itens 4.6 e 4.7 (acervo do projeto).</w:t>
      </w:r>
    </w:p>
    <w:p>
      <w:pPr>
        <w:spacing w:after="60"/>
        <w:ind w:left="454" w:hanging="283"/>
      </w:pPr>
      <w:r>
        <w:t>- IEC 60815 / IEC/TS 60815-1; IEC 60099-4 e -5; IEC 61472; IEEE Std 516 (não consultadas).</w:t>
      </w:r>
    </w:p>
    <w:p>
      <w:pPr>
        <w:spacing w:after="60"/>
        <w:ind w:left="454" w:hanging="283"/>
      </w:pPr>
      <w:r>
        <w:t>- Celesc E-313.0058 – distância de fuga específica por nível de poluição.</w:t>
      </w:r>
    </w:p>
    <w:p>
      <w:pPr>
        <w:spacing w:after="60"/>
        <w:ind w:left="454" w:hanging="283"/>
      </w:pPr>
      <w:r>
        <w:t>- Planilha BK – LINHA DE TRANSMISSÃO 4.xlsm.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/>
        <w:sz w:val="16"/>
      </w:rPr>
      <w:t>APROVADO: ______________________</w:t>
    </w:r>
  </w:p>
  <w:p>
    <w:r>
      <w:rPr>
        <w:sz w:val="14"/>
      </w:rPr>
      <w:t>Documento de propriedade da BK Engenharia e Tecnologia. Cópia controlada — [texto institucional do modelo a confirmar].</w:t>
    </w:r>
  </w:p>
  <w:p>
    <w:pPr>
      <w:shd w:val="clear" w:color="auto" w:fill="D9E2F3"/>
    </w:pPr>
    <w:r>
      <w:rPr>
        <w:sz w:val="14"/>
      </w:rPr>
      <w:t>[site · telefone · e-mail · LinkedIn da BK — a confirmar no modelo]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1814"/>
      <w:gridCol w:w="1814"/>
      <w:gridCol w:w="1814"/>
      <w:gridCol w:w="1814"/>
      <w:gridCol w:w="1814"/>
    </w:tblGrid>
    <w:tr>
      <w:tc>
        <w:tcPr>
          <w:tcW w:type="dxa" w:w="3628"/>
          <w:gridSpan w:val="2"/>
        </w:tcPr>
        <w:p>
          <w:pPr>
            <w:jc w:val="center"/>
          </w:pPr>
          <w:r/>
          <w:r>
            <w:rPr>
              <w:b w:val="0"/>
              <w:sz w:val="16"/>
            </w:rPr>
            <w:t>[LOGO BK]</w:t>
          </w:r>
        </w:p>
      </w:tc>
      <w:tc>
        <w:tcPr>
          <w:tcW w:type="dxa" w:w="1814"/>
        </w:tcPr>
        <w:p>
          <w:pPr>
            <w:jc w:val="center"/>
          </w:pPr>
          <w:r/>
          <w:r>
            <w:rPr>
              <w:b/>
              <w:sz w:val="16"/>
            </w:rPr>
            <w:t>BK ENGENHARIA E TECNOLOGIA</w:t>
            <w:br/>
            <w:t>[CNPJ — a confirmar]</w:t>
          </w:r>
        </w:p>
      </w:tc>
      <w:tc>
        <w:tcPr>
          <w:tcW w:type="dxa" w:w="3628"/>
          <w:gridSpan w:val="2"/>
        </w:tcPr>
        <w:p>
          <w:pPr>
            <w:jc w:val="center"/>
          </w:pPr>
          <w:r/>
          <w:r>
            <w:rPr>
              <w:b w:val="0"/>
              <w:sz w:val="16"/>
            </w:rPr>
            <w:t>[LOGO DO CLIENTE]</w:t>
          </w:r>
        </w:p>
      </w:tc>
    </w:tr>
    <w:tr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Código</w:t>
          </w:r>
        </w:p>
        <w:p>
          <w:pPr>
            <w:spacing w:after="0"/>
            <w:jc w:val="center"/>
          </w:pPr>
          <w:r>
            <w:rPr>
              <w:sz w:val="16"/>
            </w:rPr>
            <w:t>BK-LT-MC-M5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Revisão</w:t>
          </w:r>
        </w:p>
        <w:p>
          <w:pPr>
            <w:spacing w:after="0"/>
            <w:jc w:val="center"/>
          </w:pPr>
          <w:r>
            <w:rPr>
              <w:sz w:val="16"/>
            </w:rPr>
            <w:t>R0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Documento</w:t>
          </w:r>
        </w:p>
        <w:p>
          <w:pPr>
            <w:spacing w:after="0"/>
            <w:jc w:val="center"/>
          </w:pPr>
          <w:r>
            <w:rPr>
              <w:sz w:val="16"/>
            </w:rPr>
            <w:t>Coordenação de Isolamento – Isoladores, Distâncias no Ar e Para-raios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Aprovação</w:t>
          </w:r>
        </w:p>
        <w:p>
          <w:pPr>
            <w:spacing w:after="0"/>
            <w:jc w:val="center"/>
          </w:pPr>
          <w:r>
            <w:rPr>
              <w:sz w:val="16"/>
            </w:rPr>
            <w:t>Diretor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Pág.</w:t>
          </w:r>
        </w:p>
        <w:p>
          <w:pPr>
            <w:spacing w:after="0"/>
            <w:jc w:val="center"/>
          </w:pPr>
          <w:r>
            <w:rPr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Arial" w:hAnsi="Arial" w:eastAsia="Arial"/>
      <w:sz w:val="24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BKprincipal">
    <w:name w:val="Título BK principal"/>
    <w:basedOn w:val="Normal"/>
    <w:pPr>
      <w:keepNext/>
      <w:spacing w:line="360" w:lineRule="auto"/>
      <w:jc w:val="left"/>
      <w:outlineLvl w:val="0"/>
    </w:pPr>
    <w:rPr>
      <w:rFonts w:ascii="Arial" w:hAnsi="Arial"/>
      <w:b/>
      <w:caps/>
      <w:sz w:val="24"/>
      <w:u w:val="single"/>
    </w:rPr>
  </w:style>
  <w:style w:type="paragraph" w:customStyle="1" w:styleId="SubtítuloBK">
    <w:name w:val="Subtítulo BK"/>
    <w:basedOn w:val="Normal"/>
    <w:pPr>
      <w:keepNext/>
      <w:spacing w:line="360" w:lineRule="auto"/>
      <w:jc w:val="left"/>
      <w:outlineLvl w:val="1"/>
    </w:pPr>
    <w:rPr>
      <w:rFonts w:ascii="Arial" w:hAnsi="Arial"/>
      <w:b/>
      <w:caps w:val="0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