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Microsoft_Excel_Worksheet.xlsx" ContentType="application/vnd.openxmlformats-officedocument.spreadsheetml.sheet"/>
  <Override PartName="/word/theme/theme1.xml" ContentType="application/vnd.openxmlformats-officedocument.theme+xml"/>
  <Override PartName="/word/media/image1.wmf" ContentType="image/x-wmf"/>
  <Override PartName="/word/media/image2.png" ContentType="image/png"/>
  <Override PartName="/word/media/image3.wmf" ContentType="image/x-wmf"/>
  <Override PartName="/word/media/image4.wmf" ContentType="image/x-wmf"/>
  <Override PartName="/word/media/image5.wmf" ContentType="image/x-wmf"/>
  <Override PartName="/word/media/image6.wmf" ContentType="image/x-wmf"/>
  <Override PartName="/word/media/image7.wmf" ContentType="image/x-wmf"/>
  <Override PartName="/word/media/image8.wmf" ContentType="image/x-wmf"/>
  <Override PartName="/word/media/image9.png" ContentType="image/png"/>
  <Override PartName="/word/charts/chart1.xml" ContentType="application/vnd.openxmlformats-officedocument.drawingml.chart+xml"/>
  <Override PartName="/word/charts/_rels/chart1.xml.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siatki1jasna1"/>
        <w:tblW w:w="906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39"/>
        <w:gridCol w:w="1220"/>
        <w:gridCol w:w="2014"/>
        <w:gridCol w:w="1842"/>
        <w:gridCol w:w="992"/>
        <w:gridCol w:w="1554"/>
      </w:tblGrid>
      <w:tr>
        <w:trPr>
          <w:trHeight w:val="836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3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12" w:space="0" w:color="666666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pl-PL" w:eastAsia="en-US" w:bidi="ar-SA"/>
              </w:rPr>
              <w:t>Nr ćwiczenia: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</w:rPr>
            </w:pPr>
            <w:r>
              <w:rPr>
                <w:rFonts w:eastAsia="Calibri" w:cs=""/>
                <w:b w:val="false"/>
                <w:bCs/>
                <w:kern w:val="0"/>
                <w:sz w:val="22"/>
                <w:szCs w:val="22"/>
                <w:lang w:val="pl-PL" w:eastAsia="en-US" w:bidi="ar-SA"/>
              </w:rPr>
              <w:t>102</w:t>
            </w:r>
          </w:p>
        </w:tc>
        <w:tc>
          <w:tcPr>
            <w:tcW w:w="1220" w:type="dxa"/>
            <w:tcBorders>
              <w:bottom w:val="single" w:sz="12" w:space="0" w:color="666666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false"/>
                <w:bCs w:val="false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pl-PL" w:eastAsia="en-US" w:bidi="ar-SA"/>
              </w:rPr>
              <w:t>Data: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false"/>
              </w:rPr>
            </w:pPr>
            <w:r>
              <w:rPr>
                <w:rFonts w:eastAsia="Calibri" w:cs=""/>
                <w:b w:val="false"/>
                <w:bCs/>
                <w:kern w:val="0"/>
                <w:sz w:val="22"/>
                <w:szCs w:val="22"/>
                <w:lang w:val="pl-PL" w:eastAsia="en-US" w:bidi="ar-SA"/>
              </w:rPr>
              <w:t>2019</w:t>
            </w:r>
          </w:p>
        </w:tc>
        <w:tc>
          <w:tcPr>
            <w:tcW w:w="2014" w:type="dxa"/>
            <w:tcBorders>
              <w:bottom w:val="single" w:sz="12" w:space="0" w:color="666666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pl-PL" w:eastAsia="en-US" w:bidi="ar-SA"/>
              </w:rPr>
            </w:r>
          </w:p>
        </w:tc>
        <w:tc>
          <w:tcPr>
            <w:tcW w:w="1842" w:type="dxa"/>
            <w:tcBorders>
              <w:bottom w:val="single" w:sz="12" w:space="0" w:color="666666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pl-PL" w:eastAsia="en-US" w:bidi="ar-SA"/>
              </w:rPr>
              <w:t>Wydział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pl-PL" w:eastAsia="en-US" w:bidi="ar-SA"/>
              </w:rPr>
              <w:t>Elektroniki i Telekomunikacji</w:t>
            </w:r>
          </w:p>
        </w:tc>
        <w:tc>
          <w:tcPr>
            <w:tcW w:w="992" w:type="dxa"/>
            <w:tcBorders>
              <w:bottom w:val="single" w:sz="12" w:space="0" w:color="666666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pl-PL" w:eastAsia="en-US" w:bidi="ar-SA"/>
              </w:rPr>
              <w:t>Semestr II</w:t>
            </w:r>
          </w:p>
        </w:tc>
        <w:tc>
          <w:tcPr>
            <w:tcW w:w="1554" w:type="dxa"/>
            <w:tcBorders>
              <w:bottom w:val="single" w:sz="12" w:space="0" w:color="666666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pl-PL" w:eastAsia="en-US" w:bidi="ar-SA"/>
              </w:rPr>
            </w:r>
          </w:p>
        </w:tc>
      </w:tr>
      <w:tr>
        <w:trPr>
          <w:trHeight w:val="852" w:hRule="atLeast"/>
        </w:trPr>
        <w:tc>
          <w:tcPr>
            <w:tcW w:w="4673" w:type="dxa"/>
            <w:gridSpan w:val="3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2"/>
                <w:lang w:val="pl-PL" w:eastAsia="en-US" w:bidi="ar-SA"/>
              </w:rPr>
              <w:t>Prowadzący: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2"/>
                <w:lang w:val="pl-PL" w:eastAsia="en-US" w:bidi="ar-SA"/>
              </w:rPr>
              <w:t>dr. Inż. Przemysław Głowacki</w:t>
            </w:r>
          </w:p>
        </w:tc>
        <w:tc>
          <w:tcPr>
            <w:tcW w:w="4388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"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l-PL" w:eastAsia="en-US" w:bidi="ar-SA"/>
              </w:rPr>
              <w:t>Ocena: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jc w:val="center"/>
        <w:rPr>
          <w:b/>
        </w:rPr>
      </w:pPr>
      <w:r>
        <w:rPr>
          <w:rFonts w:ascii="Arial Black" w:hAnsi="Arial Black"/>
          <w:b/>
          <w:bCs/>
          <w:smallCaps/>
          <w:color w:val="000000"/>
          <w:spacing w:val="19"/>
          <w:sz w:val="28"/>
          <w:szCs w:val="36"/>
        </w:rPr>
        <w:t>Wyznaczanie przyspieszenia ziemskiego za pomocą wahadła rewersyjnego i matematycznego</w:t>
      </w:r>
    </w:p>
    <w:p>
      <w:pPr>
        <w:pStyle w:val="Normal"/>
        <w:rPr>
          <w:b/>
          <w:sz w:val="28"/>
        </w:rPr>
      </w:pPr>
      <w:r>
        <w:rPr>
          <w:b/>
          <w:sz w:val="28"/>
        </w:rPr>
        <w:t xml:space="preserve">1.Wstęp 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  <w:sz w:val="24"/>
          <w:u w:val="single"/>
        </w:rPr>
        <w:t>Wahadło matematyczne</w:t>
      </w:r>
      <w:r>
        <w:rPr>
          <w:rFonts w:cs="Arial" w:ascii="Arial" w:hAnsi="Arial"/>
          <w:sz w:val="24"/>
        </w:rPr>
        <w:t xml:space="preserve"> </w:t>
      </w:r>
      <w:r>
        <w:rPr>
          <w:rFonts w:cs="Arial" w:ascii="Arial" w:hAnsi="Arial"/>
        </w:rPr>
        <w:t>- punkt materialny zawieszony na nieważkiej nici, którego cała masa jest skupiona w jednym punkcie. Jeżeli przyjmiemy, że długość wahadła jest równa</w:t>
      </w:r>
      <w:r>
        <w:rPr>
          <w:rFonts w:eastAsia="Times New Roman" w:cs="Arial" w:ascii="Arial" w:hAnsi="Arial"/>
          <w:b/>
        </w:rPr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l</m:t>
        </m:r>
      </m:oMath>
      <w:r>
        <w:rPr>
          <w:rFonts w:cs="Arial" w:ascii="Arial" w:hAnsi="Arial"/>
        </w:rPr>
        <w:t>, to okres drgań wahadła matematycznego wyraża się wzorem: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/>
        <w:object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62.4pt;height:40.2pt;mso-wrap-distance-right:0pt" filled="f" o:ole="">
            <v:imagedata r:id="rId3" o:title=""/>
          </v:shape>
          <o:OLEObject Type="Embed" ProgID="Equation.2" ShapeID="ole_rId2" DrawAspect="Content" ObjectID="_182876454" r:id="rId2"/>
        </w:object>
      </w:r>
      <w:r>
        <w:rPr>
          <w:rFonts w:cs="Arial" w:ascii="Arial" w:hAnsi="Arial"/>
        </w:rPr>
        <w:t xml:space="preserve">  </w:t>
      </w:r>
      <w:r>
        <w:rPr>
          <w:rFonts w:cs="Arial" w:ascii="Arial" w:hAnsi="Arial"/>
          <w:b/>
        </w:rPr>
        <w:t xml:space="preserve"> </w:t>
      </w:r>
      <w:r>
        <w:rPr>
          <w:rFonts w:cs="Arial" w:ascii="Arial" w:hAnsi="Arial"/>
        </w:rPr>
        <w:tab/>
        <w:tab/>
        <w:tab/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g</m:t>
        </m:r>
      </m:oMath>
      <w:r>
        <w:rPr>
          <w:rFonts w:cs="Arial" w:ascii="Arial" w:hAnsi="Arial"/>
        </w:rPr>
        <w:t xml:space="preserve"> –przyspieszenie ziemskie</w:t>
      </w:r>
    </w:p>
    <w:p>
      <w:pPr>
        <w:pStyle w:val="Normal"/>
        <w:jc w:val="both"/>
        <w:rPr>
          <w:rFonts w:ascii="Arial" w:hAnsi="Arial" w:cs="Arial"/>
        </w:rPr>
      </w:pPr>
      <w:r>
        <w:drawing>
          <wp:anchor behindDoc="1" distT="0" distB="0" distL="0" distR="0" simplePos="0" locked="0" layoutInCell="0" allowOverlap="1" relativeHeight="2">
            <wp:simplePos x="0" y="0"/>
            <wp:positionH relativeFrom="margin">
              <wp:posOffset>-320675</wp:posOffset>
            </wp:positionH>
            <wp:positionV relativeFrom="paragraph">
              <wp:posOffset>504825</wp:posOffset>
            </wp:positionV>
            <wp:extent cx="1732280" cy="897255"/>
            <wp:effectExtent l="0" t="0" r="0" b="0"/>
            <wp:wrapNone/>
            <wp:docPr id="1" name="Obraz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228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Arial" w:hAnsi="Arial"/>
          <w:sz w:val="24"/>
          <w:u w:val="single"/>
        </w:rPr>
        <w:t>Wahadło fizyczne</w:t>
      </w:r>
      <w:r>
        <w:rPr>
          <w:rFonts w:cs="Arial" w:ascii="Arial" w:hAnsi="Arial"/>
          <w:sz w:val="24"/>
        </w:rPr>
        <w:t xml:space="preserve"> </w:t>
      </w:r>
      <w:r>
        <w:rPr>
          <w:rFonts w:cs="Arial" w:ascii="Arial" w:hAnsi="Arial"/>
        </w:rPr>
        <w:t xml:space="preserve">- każde ciało sztywne mogące się wahać wokół osi poziomej. Po wychyleniu z położenia równowagi na ciało działa moment siły ciężkości : </w:t>
      </w:r>
      <w:r>
        <w:rPr/>
        <w:object>
          <v:shapetype id="_x0000_tole_rId5" coordsize="21600,21600" o:spt="ole_rId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" type="_x0000_tole_rId5" style="width:49.8pt;height:15pt;mso-wrap-distance-right:0pt" filled="f" o:ole="">
            <v:imagedata r:id="rId6" o:title=""/>
          </v:shape>
          <o:OLEObject Type="Embed" ProgID="Equation.2" ShapeID="ole_rId5" DrawAspect="Content" ObjectID="_1021358990" r:id="rId5"/>
        </w:object>
      </w:r>
      <w:r>
        <w:rPr>
          <w:rFonts w:cs="Arial" w:ascii="Arial" w:hAnsi="Arial"/>
        </w:rPr>
        <w:t>. Stosując do tej sytuacji II zasadę dynamiki Newtona otrzymujemy równanie:</w:t>
      </w:r>
    </w:p>
    <w:p>
      <w:pPr>
        <w:pStyle w:val="Normal"/>
        <w:spacing w:before="0" w:after="0"/>
        <w:ind w:left="2832"/>
        <w:jc w:val="center"/>
        <w:rPr>
          <w:rFonts w:ascii="Arial" w:hAnsi="Arial" w:cs="Arial"/>
        </w:rPr>
      </w:pPr>
      <w:r>
        <w:rPr/>
        <w:object>
          <v:shapetype id="_x0000_tole_rId7" coordsize="21600,21600" o:spt="ole_rId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" type="_x0000_tole_rId7" style="width:9pt;height:12pt;mso-wrap-distance-right:0pt" filled="f" o:ole="">
            <v:imagedata r:id="rId8" o:title=""/>
          </v:shape>
          <o:OLEObject Type="Embed" ProgID="Equation.2" ShapeID="ole_rId7" DrawAspect="Content" ObjectID="_234054742" r:id="rId7"/>
        </w:object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</w:rPr>
        <w:t xml:space="preserve">oznacza moment bezwładności ciała względem punktu zawieszenia, </w:t>
      </w:r>
      <w:r>
        <w:rPr/>
        <w:object>
          <v:shapetype id="_x0000_tole_rId9" coordsize="21600,21600" o:spt="ole_rId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" type="_x0000_tole_rId9" style="width:12pt;height:10.8pt;mso-wrap-distance-right:0pt" filled="f" o:ole="">
            <v:imagedata r:id="rId10" o:title=""/>
          </v:shape>
          <o:OLEObject Type="Embed" ProgID="Equation.2" ShapeID="ole_rId9" DrawAspect="Content" ObjectID="_1231525194" r:id="rId9"/>
        </w:object>
      </w:r>
      <w:r>
        <w:rPr>
          <w:rFonts w:cs="Arial" w:ascii="Arial" w:hAnsi="Arial"/>
        </w:rPr>
        <w:t xml:space="preserve"> - kąt wychylenia od położenia równowagi,             </w:t>
      </w:r>
      <w:r>
        <w:rPr/>
        <w:object>
          <v:shapetype id="_x0000_tole_rId11" coordsize="21600,21600" o:spt="ole_rId1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" type="_x0000_tole_rId11" style="width:10.8pt;height:12pt;mso-wrap-distance-right:0pt" filled="f" o:ole="">
            <v:imagedata r:id="rId12" o:title=""/>
          </v:shape>
          <o:OLEObject Type="Embed" ProgID="Equation.2" ShapeID="ole_rId11" DrawAspect="Content" ObjectID="_363135940" r:id="rId11"/>
        </w:object>
      </w:r>
      <w:r>
        <w:rPr>
          <w:rFonts w:cs="Arial" w:ascii="Arial" w:hAnsi="Arial"/>
        </w:rPr>
        <w:t xml:space="preserve"> - odległość od punktu zawieszenia do środka ciężkości wahadła</w:t>
      </w:r>
    </w:p>
    <w:p>
      <w:pPr>
        <w:pStyle w:val="Normal"/>
        <w:spacing w:lineRule="auto" w:line="360" w:before="0" w:after="0"/>
        <w:rPr>
          <w:rFonts w:ascii="Arial" w:hAnsi="Arial"/>
          <w:kern w:val="2"/>
        </w:rPr>
      </w:pPr>
      <w:r>
        <w:rPr/>
        <w:object>
          <v:shapetype id="_x0000_tole_rId13" coordsize="21600,21600" o:spt="ole_rId1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" type="_x0000_tole_rId13" style="width:79.8pt;height:33pt;mso-wrap-distance-right:0pt" filled="f" o:ole="">
            <v:imagedata r:id="rId14" o:title=""/>
          </v:shape>
          <o:OLEObject Type="Embed" ProgID="Equation.2" ShapeID="ole_rId13" DrawAspect="Content" ObjectID="_2109736544" r:id="rId13"/>
        </w:object>
      </w:r>
      <w:r>
        <w:rPr>
          <w:rFonts w:eastAsia="Times New Roman" w:cs="Times New Roman" w:ascii="Arial" w:hAnsi="Arial"/>
          <w:sz w:val="24"/>
          <w:szCs w:val="24"/>
        </w:rPr>
        <w:t xml:space="preserve"> </w:t>
      </w:r>
      <w:r>
        <w:rPr>
          <w:rFonts w:eastAsia="Times New Roman" w:cs="Times New Roman" w:ascii="Arial" w:hAnsi="Arial"/>
          <w:sz w:val="24"/>
          <w:szCs w:val="24"/>
        </w:rPr>
        <w:tab/>
      </w:r>
      <w:r>
        <w:rPr>
          <w:rFonts w:ascii="Arial" w:hAnsi="Arial"/>
          <w:kern w:val="2"/>
        </w:rPr>
        <w:t>Dla małych wychyleń ruch wahadła mat. jest ruchem harmonicznym.</w:t>
      </w:r>
    </w:p>
    <w:p>
      <w:pPr>
        <w:pStyle w:val="Normal"/>
        <w:spacing w:before="0" w:after="0"/>
        <w:rPr>
          <w:rFonts w:ascii="Arial" w:hAnsi="Arial" w:cs="Arial"/>
        </w:rPr>
      </w:pPr>
      <w:r>
        <w:rPr>
          <w:rFonts w:cs="Arial" w:ascii="Arial" w:hAnsi="Arial"/>
        </w:rPr>
        <w:t xml:space="preserve">Porównując powyższe równanie z ogólnym równaniem ruchu harmonicznego, w którym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ω</m:t>
        </m:r>
      </m:oMath>
      <w:r>
        <w:rPr>
          <w:rFonts w:cs="Arial" w:ascii="Arial" w:hAnsi="Arial"/>
        </w:rPr>
        <w:t xml:space="preserve"> oznacza prędkość kątową, uzyskujemy wyrażenie określające okres wahadła fizycznego</w:t>
      </w:r>
    </w:p>
    <w:p>
      <w:pPr>
        <w:pStyle w:val="Normal"/>
        <w:spacing w:before="0" w:after="0"/>
        <w:rPr>
          <w:rFonts w:ascii="Arial" w:hAnsi="Arial" w:cs="Arial"/>
        </w:rPr>
      </w:pPr>
      <w:r>
        <w:rPr/>
        <w:object>
          <v:shapetype id="_x0000_tole_rId15" coordsize="21600,21600" o:spt="ole_rId1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" type="_x0000_tole_rId15" style="width:55.8pt;height:33pt;mso-wrap-distance-right:0pt" filled="f" o:ole="">
            <v:imagedata r:id="rId16" o:title=""/>
          </v:shape>
          <o:OLEObject Type="Embed" ProgID="Equation" ShapeID="ole_rId15" DrawAspect="Content" ObjectID="_1738126387" r:id="rId15"/>
        </w:object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</w:rPr>
        <w:tab/>
        <w:tab/>
        <w:tab/>
        <w:t xml:space="preserve">gdzie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mgL</m:t>
        </m:r>
      </m:oMath>
      <w:r>
        <w:rPr>
          <w:rFonts w:cs="Arial" w:ascii="Arial" w:hAnsi="Arial"/>
        </w:rPr>
        <w:t xml:space="preserve"> i nazywa się momentem kierującym.</w:t>
      </w:r>
    </w:p>
    <w:p>
      <w:pPr>
        <w:pStyle w:val="Normal"/>
        <w:spacing w:before="240" w:after="0"/>
        <w:rPr>
          <w:rFonts w:ascii="Arial" w:hAnsi="Arial" w:cs="Arial"/>
        </w:rPr>
      </w:pPr>
      <w:r>
        <w:drawing>
          <wp:anchor behindDoc="0" distT="0" distB="0" distL="114300" distR="114300" simplePos="0" locked="0" layoutInCell="0" allowOverlap="1" relativeHeight="3">
            <wp:simplePos x="0" y="0"/>
            <wp:positionH relativeFrom="column">
              <wp:posOffset>4403725</wp:posOffset>
            </wp:positionH>
            <wp:positionV relativeFrom="paragraph">
              <wp:posOffset>113665</wp:posOffset>
            </wp:positionV>
            <wp:extent cx="953135" cy="632460"/>
            <wp:effectExtent l="0" t="0" r="0" b="0"/>
            <wp:wrapThrough wrapText="bothSides">
              <wp:wrapPolygon edited="0">
                <wp:start x="-272" y="0"/>
                <wp:lineTo x="-272" y="20517"/>
                <wp:lineTo x="21048" y="20517"/>
                <wp:lineTo x="21048" y="0"/>
                <wp:lineTo x="-272" y="0"/>
              </wp:wrapPolygon>
            </wp:wrapThrough>
            <wp:docPr id="2" name="Obraz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2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135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Arial" w:hAnsi="Arial"/>
        </w:rPr>
        <w:t>Taka długość wahadła matematycznego, dla którego okresy</w:t>
      </w:r>
    </w:p>
    <w:p>
      <w:pPr>
        <w:pStyle w:val="Normal"/>
        <w:spacing w:before="0" w:after="0"/>
        <w:rPr>
          <w:rFonts w:ascii="Arial" w:hAnsi="Arial" w:cs="Arial"/>
        </w:rPr>
      </w:pPr>
      <w:r>
        <w:rPr>
          <w:rFonts w:cs="Arial" w:ascii="Arial" w:hAnsi="Arial"/>
        </w:rPr>
        <w:t xml:space="preserve"> </w:t>
      </w:r>
      <w:r>
        <w:rPr>
          <w:rFonts w:cs="Arial" w:ascii="Arial" w:hAnsi="Arial"/>
        </w:rPr>
        <w:t>drgań wahadła matematycznego i fizycznego są równe nazywa</w:t>
      </w:r>
    </w:p>
    <w:p>
      <w:pPr>
        <w:pStyle w:val="Normal"/>
        <w:spacing w:before="0" w:after="0"/>
        <w:rPr>
          <w:rFonts w:ascii="Arial" w:hAnsi="Arial" w:cs="Arial"/>
        </w:rPr>
      </w:pPr>
      <w:r>
        <w:rPr>
          <w:rFonts w:cs="Arial" w:ascii="Arial" w:hAnsi="Arial"/>
        </w:rPr>
        <w:t xml:space="preserve">się </w:t>
      </w:r>
      <w:r>
        <w:rPr>
          <w:rFonts w:cs="Arial" w:ascii="Arial" w:hAnsi="Arial"/>
          <w:u w:val="single"/>
        </w:rPr>
        <w:t>długością zredukowaną</w:t>
      </w:r>
      <w:r>
        <w:rPr>
          <w:rFonts w:cs="Arial" w:ascii="Arial" w:hAnsi="Arial"/>
        </w:rPr>
        <w:t xml:space="preserve"> wahadła fizycznego i wynosi ona:  </w:t>
      </w:r>
    </w:p>
    <w:p>
      <w:pPr>
        <w:pStyle w:val="Normal"/>
        <w:spacing w:before="240" w:after="160"/>
        <w:rPr>
          <w:b/>
          <w:sz w:val="28"/>
        </w:rPr>
      </w:pPr>
      <w:r>
        <w:rPr>
          <w:rFonts w:ascii="Arial" w:hAnsi="Arial"/>
        </w:rPr>
        <w:t xml:space="preserve">Specjalną postacią wahadła fizycznego ułatwiającą wyznaczenie długości zredukowanej, jest </w:t>
      </w:r>
      <w:r>
        <w:rPr>
          <w:rFonts w:ascii="Arial" w:hAnsi="Arial"/>
          <w:u w:val="single"/>
        </w:rPr>
        <w:t>wahadło rewersyjne</w:t>
      </w:r>
      <w:r>
        <w:rPr>
          <w:rFonts w:ascii="Arial" w:hAnsi="Arial"/>
        </w:rPr>
        <w:t xml:space="preserve"> lub odwracalne. Na długim pręcie znajdują się dwa ciężarki, które mogą być przesuwane wzdłuż pręta. Osi obrotu A i B znajdują się przy przeciwnych końcach pręta.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Do wyznaczenia długości zredukowanej wykorzystujemy następujące właściwości wahadła fizycznego:</w:t>
      </w:r>
    </w:p>
    <w:p>
      <w:pPr>
        <w:pStyle w:val="Normal"/>
        <w:rPr>
          <w:rFonts w:ascii="Arial" w:hAnsi="Arial" w:cs="Arial"/>
          <w:sz w:val="24"/>
        </w:rPr>
      </w:pPr>
      <w:r>
        <w:rPr>
          <w:rFonts w:cs="Arial" w:ascii="Arial" w:hAnsi="Arial"/>
          <w:sz w:val="24"/>
        </w:rPr>
        <w:t xml:space="preserve">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A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π</m:t>
        </m:r>
        <m:rad>
          <m:radPr>
            <m:degHide m:val="1"/>
          </m:radPr>
          <m:deg/>
          <m:e>
            <m:f>
              <m:num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A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 xml:space="preserve">mgL</m:t>
                </m:r>
              </m:den>
            </m:f>
          </m:e>
        </m:rad>
      </m:oMath>
      <w:r>
        <w:rPr>
          <w:rFonts w:eastAsia="" w:cs="Arial" w:ascii="Arial" w:hAnsi="Arial" w:eastAsiaTheme="minorEastAsia"/>
          <w:sz w:val="28"/>
        </w:rPr>
        <w:tab/>
        <w:tab/>
        <w:tab/>
        <w:tab/>
        <w:tab/>
        <w:tab/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b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π</m:t>
        </m:r>
        <m:rad>
          <m:radPr>
            <m:degHide m:val="1"/>
          </m:radPr>
          <m:deg/>
          <m:e>
            <m:f>
              <m:num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B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 xml:space="preserve">mg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l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L</m:t>
                    </m:r>
                  </m:e>
                </m:d>
              </m:den>
            </m:f>
          </m:e>
        </m:rad>
      </m:oMath>
    </w:p>
    <w:p>
      <w:pPr>
        <w:pStyle w:val="Normal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rPr>
          <w:b/>
          <w:sz w:val="28"/>
        </w:rPr>
      </w:pPr>
      <w:r>
        <w:rPr>
          <w:b/>
          <w:sz w:val="28"/>
        </w:rPr>
        <w:t>2. Przebieg ćwiczenia i pomiary</w:t>
      </w:r>
    </w:p>
    <w:p>
      <w:pPr>
        <w:pStyle w:val="Normal"/>
        <w:rPr>
          <w:sz w:val="28"/>
        </w:rPr>
      </w:pPr>
      <w:r>
        <w:rPr>
          <w:sz w:val="28"/>
        </w:rPr>
        <w:t>Przyjęte niepewności pomiarowe:</w:t>
      </w:r>
    </w:p>
    <w:p>
      <w:pPr>
        <w:pStyle w:val="Normal"/>
        <w:spacing w:lineRule="auto" w:line="240" w:before="0" w:after="0"/>
        <w:jc w:val="center"/>
        <w:rPr>
          <w:rFonts w:eastAsia="" w:eastAsiaTheme="minorEastAsia"/>
          <w:sz w:val="24"/>
          <w:szCs w:val="24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Δ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s</m:t>
          </m:r>
        </m:oMath>
      </m:oMathPara>
    </w:p>
    <w:p>
      <w:pPr>
        <w:pStyle w:val="Normal"/>
        <w:spacing w:lineRule="auto" w:line="240" w:before="0" w:after="0"/>
        <w:jc w:val="center"/>
        <w:rPr>
          <w:rFonts w:eastAsia="" w:eastAsiaTheme="minorEastAsia"/>
          <w:sz w:val="24"/>
          <w:szCs w:val="24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Δ</m:t>
          </m:r>
          <m:r>
            <w:rPr>
              <w:rFonts w:ascii="Cambria Math" w:hAnsi="Cambria Math"/>
            </w:rPr>
            <m:t xml:space="preserve">l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cm</m:t>
          </m:r>
        </m:oMath>
      </m:oMathPara>
    </w:p>
    <w:p>
      <w:pPr>
        <w:pStyle w:val="Normal"/>
        <w:spacing w:lineRule="auto" w:line="240" w:before="0" w:after="0"/>
        <w:jc w:val="center"/>
        <w:rPr>
          <w:rFonts w:eastAsia="" w:eastAsiaTheme="minorEastAsia"/>
          <w:sz w:val="24"/>
          <w:szCs w:val="24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Δ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cm</m:t>
          </m:r>
        </m:oMath>
      </m:oMathPara>
    </w:p>
    <w:p>
      <w:pPr>
        <w:pStyle w:val="Normal"/>
        <w:spacing w:lineRule="auto" w:line="240" w:before="0" w:after="0"/>
        <w:rPr>
          <w:rFonts w:eastAsia="" w:eastAsiaTheme="minorEastAsia"/>
          <w:sz w:val="28"/>
          <w:szCs w:val="24"/>
        </w:rPr>
      </w:pPr>
      <w:r>
        <w:rPr>
          <w:rFonts w:eastAsia="" w:eastAsiaTheme="minorEastAsia"/>
          <w:sz w:val="28"/>
          <w:szCs w:val="24"/>
        </w:rPr>
        <w:t>Wahadło matematyczne:</w:t>
      </w:r>
    </w:p>
    <w:p>
      <w:pPr>
        <w:pStyle w:val="Normal"/>
        <w:spacing w:lineRule="auto" w:line="240" w:before="0" w:after="0"/>
        <w:rPr>
          <w:rFonts w:eastAsia="" w:eastAsiaTheme="minorEastAsia"/>
          <w:sz w:val="24"/>
          <w:szCs w:val="24"/>
        </w:rPr>
      </w:pPr>
      <w:r>
        <w:rPr>
          <w:rFonts w:eastAsia="" w:eastAsiaTheme="minorEastAsia"/>
          <w:sz w:val="24"/>
          <w:szCs w:val="24"/>
        </w:rPr>
      </w:r>
    </w:p>
    <w:p>
      <w:pPr>
        <w:pStyle w:val="Normal"/>
        <w:spacing w:lineRule="auto" w:line="240" w:before="0" w:after="0"/>
        <w:rPr>
          <w:rFonts w:eastAsia="" w:eastAsiaTheme="minorEastAsia"/>
          <w:sz w:val="24"/>
          <w:szCs w:val="24"/>
        </w:rPr>
      </w:pPr>
      <w:r>
        <w:rPr>
          <w:rFonts w:eastAsia="" w:eastAsiaTheme="minorEastAsia"/>
          <w:sz w:val="24"/>
          <w:szCs w:val="24"/>
        </w:rPr>
        <w:t>Pomiary dla 10 okresów:</w:t>
      </w:r>
    </w:p>
    <w:tbl>
      <w:tblPr>
        <w:tblStyle w:val="Tabela-Siatka"/>
        <w:tblW w:w="819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95"/>
        <w:gridCol w:w="1559"/>
        <w:gridCol w:w="1558"/>
        <w:gridCol w:w="1561"/>
        <w:gridCol w:w="1417"/>
      </w:tblGrid>
      <w:tr>
        <w:trPr>
          <w:trHeight w:val="285" w:hRule="atLeast"/>
        </w:trPr>
        <w:tc>
          <w:tcPr>
            <w:tcW w:w="20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Dł. wachadła l (cm)</w:t>
            </w:r>
          </w:p>
        </w:tc>
        <w:tc>
          <w:tcPr>
            <w:tcW w:w="15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Czas t</w:t>
            </w:r>
            <w:r>
              <w:rPr>
                <w:rFonts w:eastAsia="Calibri" w:cs="" w:ascii="Cambria Math" w:hAnsi="Cambria Math"/>
                <w:kern w:val="0"/>
                <w:sz w:val="22"/>
                <w:szCs w:val="22"/>
                <w:vertAlign w:val="subscript"/>
                <w:lang w:val="pl-PL" w:eastAsia="en-US" w:bidi="ar-SA"/>
              </w:rPr>
              <w:t xml:space="preserve">1 </w:t>
            </w: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(s)</w:t>
            </w:r>
          </w:p>
        </w:tc>
        <w:tc>
          <w:tcPr>
            <w:tcW w:w="15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Czas t</w:t>
            </w:r>
            <w:r>
              <w:rPr>
                <w:rFonts w:eastAsia="Calibri" w:cs="" w:ascii="Cambria Math" w:hAnsi="Cambria Math"/>
                <w:kern w:val="0"/>
                <w:sz w:val="22"/>
                <w:szCs w:val="22"/>
                <w:vertAlign w:val="subscript"/>
                <w:lang w:val="pl-PL" w:eastAsia="en-US" w:bidi="ar-SA"/>
              </w:rPr>
              <w:t xml:space="preserve">2 </w:t>
            </w: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(s)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Czas t</w:t>
            </w:r>
            <w:r>
              <w:rPr>
                <w:rFonts w:eastAsia="Calibri" w:cs="" w:ascii="Cambria Math" w:hAnsi="Cambria Math"/>
                <w:kern w:val="0"/>
                <w:sz w:val="22"/>
                <w:szCs w:val="22"/>
                <w:vertAlign w:val="subscript"/>
                <w:lang w:val="pl-PL" w:eastAsia="en-US" w:bidi="ar-SA"/>
              </w:rPr>
              <w:t xml:space="preserve">3 </w:t>
            </w: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(s)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Czas t</w:t>
            </w:r>
            <w:r>
              <w:rPr>
                <w:rFonts w:eastAsia="Calibri" w:cs="" w:ascii="Cambria Math" w:hAnsi="Cambria Math"/>
                <w:kern w:val="0"/>
                <w:sz w:val="22"/>
                <w:szCs w:val="22"/>
                <w:vertAlign w:val="subscript"/>
                <w:lang w:val="pl-PL" w:eastAsia="en-US" w:bidi="ar-SA"/>
              </w:rPr>
              <w:t xml:space="preserve">śr </w:t>
            </w: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(s)</w:t>
            </w:r>
          </w:p>
        </w:tc>
      </w:tr>
      <w:tr>
        <w:trPr>
          <w:trHeight w:val="295" w:hRule="atLeast"/>
        </w:trPr>
        <w:tc>
          <w:tcPr>
            <w:tcW w:w="20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50</w:t>
            </w:r>
          </w:p>
        </w:tc>
        <w:tc>
          <w:tcPr>
            <w:tcW w:w="15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14,242</w:t>
            </w:r>
          </w:p>
        </w:tc>
        <w:tc>
          <w:tcPr>
            <w:tcW w:w="15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14,196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14,989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14,476</w:t>
            </w:r>
          </w:p>
        </w:tc>
      </w:tr>
      <w:tr>
        <w:trPr>
          <w:trHeight w:val="285" w:hRule="atLeast"/>
        </w:trPr>
        <w:tc>
          <w:tcPr>
            <w:tcW w:w="20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40</w:t>
            </w:r>
          </w:p>
        </w:tc>
        <w:tc>
          <w:tcPr>
            <w:tcW w:w="15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12,790</w:t>
            </w:r>
          </w:p>
        </w:tc>
        <w:tc>
          <w:tcPr>
            <w:tcW w:w="15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12,760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12,759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12,770</w:t>
            </w:r>
          </w:p>
        </w:tc>
      </w:tr>
      <w:tr>
        <w:trPr>
          <w:trHeight w:val="285" w:hRule="atLeast"/>
        </w:trPr>
        <w:tc>
          <w:tcPr>
            <w:tcW w:w="20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30</w:t>
            </w:r>
          </w:p>
        </w:tc>
        <w:tc>
          <w:tcPr>
            <w:tcW w:w="15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11,017</w:t>
            </w:r>
          </w:p>
        </w:tc>
        <w:tc>
          <w:tcPr>
            <w:tcW w:w="15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11,029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11,007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11,018</w:t>
            </w:r>
          </w:p>
        </w:tc>
      </w:tr>
      <w:tr>
        <w:trPr>
          <w:trHeight w:val="295" w:hRule="atLeast"/>
        </w:trPr>
        <w:tc>
          <w:tcPr>
            <w:tcW w:w="20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20</w:t>
            </w:r>
          </w:p>
        </w:tc>
        <w:tc>
          <w:tcPr>
            <w:tcW w:w="15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9,026</w:t>
            </w:r>
          </w:p>
        </w:tc>
        <w:tc>
          <w:tcPr>
            <w:tcW w:w="15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9,016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9,206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9,083</w:t>
            </w:r>
          </w:p>
        </w:tc>
      </w:tr>
      <w:tr>
        <w:trPr>
          <w:trHeight w:val="285" w:hRule="atLeast"/>
        </w:trPr>
        <w:tc>
          <w:tcPr>
            <w:tcW w:w="20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10</w:t>
            </w:r>
          </w:p>
        </w:tc>
        <w:tc>
          <w:tcPr>
            <w:tcW w:w="15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6,433</w:t>
            </w:r>
          </w:p>
        </w:tc>
        <w:tc>
          <w:tcPr>
            <w:tcW w:w="15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6,325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6,339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6,366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eastAsia="" w:eastAsiaTheme="minorEastAsia"/>
          <w:sz w:val="28"/>
        </w:rPr>
      </w:pPr>
      <w:r>
        <w:rPr>
          <w:rFonts w:eastAsia="" w:eastAsiaTheme="minorEastAsia"/>
          <w:sz w:val="28"/>
        </w:rPr>
      </w:r>
    </w:p>
    <w:p>
      <w:pPr>
        <w:pStyle w:val="Normal"/>
        <w:spacing w:lineRule="auto" w:line="240" w:before="0" w:after="0"/>
        <w:jc w:val="both"/>
        <w:rPr>
          <w:rFonts w:eastAsia="" w:eastAsiaTheme="minorEastAsia"/>
          <w:sz w:val="24"/>
        </w:rPr>
      </w:pPr>
      <w:r>
        <w:rPr>
          <w:rFonts w:eastAsia="" w:eastAsiaTheme="minorEastAsia"/>
          <w:sz w:val="24"/>
        </w:rPr>
        <w:t>Obliczamy okres wahadła ze wzoru:</w:t>
      </w:r>
    </w:p>
    <w:p>
      <w:pPr>
        <w:pStyle w:val="Normal"/>
        <w:spacing w:lineRule="auto" w:line="240" w:before="0" w:after="0"/>
        <w:jc w:val="center"/>
        <w:rPr>
          <w:rFonts w:eastAsia="" w:eastAsiaTheme="minorEastAsia"/>
          <w:sz w:val="24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r>
                <w:rPr>
                  <w:rFonts w:ascii="Cambria Math" w:hAnsi="Cambria Math"/>
                </w:rPr>
                <m:t xml:space="preserve">m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śr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n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śr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</m:oMath>
      </m:oMathPara>
    </w:p>
    <w:p>
      <w:pPr>
        <w:pStyle w:val="Normal"/>
        <w:spacing w:lineRule="auto" w:line="240" w:before="0" w:after="0"/>
        <w:jc w:val="both"/>
        <w:rPr>
          <w:rFonts w:eastAsia="" w:eastAsiaTheme="minorEastAsia"/>
          <w:sz w:val="24"/>
        </w:rPr>
      </w:pPr>
      <w:r>
        <w:rPr>
          <w:rFonts w:eastAsia="" w:eastAsiaTheme="minorEastAsia"/>
          <w:sz w:val="24"/>
        </w:rPr>
        <w:t xml:space="preserve">Przyspieszenie ziemskie przekształcając wzór: </w:t>
      </w:r>
    </w:p>
    <w:p>
      <w:pPr>
        <w:pStyle w:val="Normal"/>
        <w:spacing w:lineRule="auto" w:line="240" w:before="0" w:after="0"/>
        <w:ind w:firstLine="708" w:left="708"/>
        <w:jc w:val="both"/>
        <w:rPr>
          <w:rFonts w:eastAsia="" w:eastAsiaTheme="minorEastAsia"/>
          <w:sz w:val="24"/>
        </w:rPr>
      </w:pPr>
      <w:r>
        <w:rPr>
          <w:rFonts w:eastAsia="" w:eastAsiaTheme="minorEastAsia"/>
          <w:sz w:val="24"/>
        </w:rPr>
        <w:t xml:space="preserve">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m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π</m:t>
        </m:r>
        <m:rad>
          <m:radPr>
            <m:degHide m:val="1"/>
          </m:radPr>
          <m:deg/>
          <m:e>
            <m:f>
              <m:num>
                <m:r>
                  <w:rPr>
                    <w:rFonts w:ascii="Cambria Math" w:hAnsi="Cambria Math"/>
                  </w:rPr>
                  <m:t xml:space="preserve">l</m:t>
                </m:r>
              </m:num>
              <m:den>
                <m:sSub>
                  <m:e>
                    <m:r>
                      <w:rPr>
                        <w:rFonts w:ascii="Cambria Math" w:hAnsi="Cambria Math"/>
                      </w:rPr>
                      <m:t xml:space="preserve"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m</m:t>
                    </m:r>
                  </m:sub>
                </m:sSub>
              </m:den>
            </m:f>
          </m:e>
        </m:rad>
      </m:oMath>
      <w:r>
        <w:rPr>
          <w:rFonts w:eastAsia="" w:eastAsiaTheme="minorEastAsia"/>
          <w:sz w:val="24"/>
        </w:rPr>
        <w:tab/>
        <w:tab/>
        <w:tab/>
        <w:tab/>
        <w:tab/>
        <w:tab/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g</m:t>
            </m:r>
          </m:e>
          <m:sub>
            <m:r>
              <w:rPr>
                <w:rFonts w:ascii="Cambria Math" w:hAnsi="Cambria Math"/>
              </w:rPr>
              <m:t xml:space="preserve">m</m:t>
            </m:r>
          </m:sub>
        </m:sSub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4</m:t>
            </m:r>
            <m:sSup>
              <m:e>
                <m:r>
                  <w:rPr>
                    <w:rFonts w:ascii="Cambria Math" w:hAnsi="Cambria Math"/>
                  </w:rPr>
                  <m:t xml:space="preserve">π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l</m:t>
            </m:r>
          </m:num>
          <m:den>
            <m:sSubSup>
              <m:e>
                <m:r>
                  <w:rPr>
                    <w:rFonts w:ascii="Cambria Math" w:hAnsi="Cambria Math"/>
                  </w:rPr>
                  <m:t xml:space="preserve">T</m:t>
                </m:r>
              </m:e>
              <m:sub>
                <m:r>
                  <w:rPr>
                    <w:rFonts w:ascii="Cambria Math" w:hAnsi="Cambria Math"/>
                  </w:rPr>
                  <m:t xml:space="preserve">m</m:t>
                </m:r>
              </m:sub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bSup>
          </m:den>
        </m:f>
      </m:oMath>
    </w:p>
    <w:p>
      <w:pPr>
        <w:pStyle w:val="Normal"/>
        <w:spacing w:lineRule="auto" w:line="240" w:before="0" w:after="0"/>
        <w:jc w:val="both"/>
        <w:rPr>
          <w:rFonts w:eastAsia="" w:eastAsiaTheme="minorEastAsia"/>
          <w:sz w:val="24"/>
          <w:szCs w:val="24"/>
        </w:rPr>
      </w:pPr>
      <w:r>
        <w:rPr>
          <w:rFonts w:eastAsia="" w:eastAsiaTheme="minorEastAsia"/>
          <w:sz w:val="24"/>
          <w:szCs w:val="24"/>
        </w:rPr>
        <w:t xml:space="preserve">Oraz błąd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g</m:t>
            </m:r>
          </m:e>
          <m:sub>
            <m:r>
              <w:rPr>
                <w:rFonts w:ascii="Cambria Math" w:hAnsi="Cambria Math"/>
              </w:rPr>
              <m:t xml:space="preserve">m</m:t>
            </m:r>
          </m:sub>
        </m:sSub>
      </m:oMath>
      <w:r>
        <w:rPr>
          <w:rFonts w:eastAsia="" w:eastAsiaTheme="minorEastAsia"/>
          <w:sz w:val="24"/>
          <w:szCs w:val="24"/>
        </w:rPr>
        <w:t xml:space="preserve"> z różniczki logarytmicznej</w:t>
      </w:r>
    </w:p>
    <w:p>
      <w:pPr>
        <w:pStyle w:val="Normal"/>
        <w:spacing w:lineRule="auto" w:line="240" w:before="0" w:after="0"/>
        <w:jc w:val="center"/>
        <w:rPr>
          <w:rFonts w:eastAsia="" w:eastAsiaTheme="minorEastAsia"/>
          <w:sz w:val="24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Δ</m:t>
          </m:r>
          <m:sSub>
            <m:e>
              <m:r>
                <w:rPr>
                  <w:rFonts w:ascii="Cambria Math" w:hAnsi="Cambria Math"/>
                </w:rPr>
                <m:t xml:space="preserve">g</m:t>
              </m:r>
            </m:e>
            <m:sub>
              <m:r>
                <w:rPr>
                  <w:rFonts w:ascii="Cambria Math" w:hAnsi="Cambria Math"/>
                </w:rPr>
                <m:t xml:space="preserve">m</m:t>
              </m:r>
            </m:sub>
          </m:sSub>
          <m:r>
            <w:rPr>
              <w:rFonts w:ascii="Cambria Math" w:hAnsi="Cambria Math"/>
            </w:rPr>
            <m:t xml:space="preserve">=</m:t>
          </m:r>
          <m:d>
            <m:dPr>
              <m:begChr m:val="("/>
              <m:endChr m:val=")"/>
            </m:dPr>
            <m:e>
              <m:d>
                <m:dPr>
                  <m:begChr m:val="|"/>
                  <m:endChr m:val="|"/>
                </m:dPr>
                <m:e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Δ</m:t>
                      </m:r>
                      <m:r>
                        <w:rPr>
                          <w:rFonts w:ascii="Cambria Math" w:hAnsi="Cambria Math"/>
                        </w:rPr>
                        <m:t xml:space="preserve">l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l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 xml:space="preserve">+</m:t>
              </m:r>
              <m:d>
                <m:dPr>
                  <m:begChr m:val="|"/>
                  <m:endChr m:val="|"/>
                </m:dPr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Δ</m:t>
                      </m:r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m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m</m:t>
                          </m:r>
                        </m:sub>
                      </m:sSub>
                    </m:den>
                  </m:f>
                </m:e>
              </m:d>
            </m:e>
          </m:d>
          <m:sSub>
            <m:e>
              <m:r>
                <w:rPr>
                  <w:rFonts w:ascii="Cambria Math" w:hAnsi="Cambria Math"/>
                </w:rPr>
                <m:t xml:space="preserve">g</m:t>
              </m:r>
            </m:e>
            <m:sub>
              <m:r>
                <w:rPr>
                  <w:rFonts w:ascii="Cambria Math" w:hAnsi="Cambria Math"/>
                </w:rPr>
                <m:t xml:space="preserve">m</m:t>
              </m:r>
            </m:sub>
          </m:sSub>
        </m:oMath>
      </m:oMathPara>
    </w:p>
    <w:p>
      <w:pPr>
        <w:pStyle w:val="Normal"/>
        <w:spacing w:lineRule="auto" w:line="240" w:before="0" w:after="0"/>
        <w:jc w:val="both"/>
        <w:rPr>
          <w:rFonts w:eastAsia="" w:eastAsiaTheme="minorEastAsia"/>
          <w:sz w:val="24"/>
        </w:rPr>
      </w:pPr>
      <w:r>
        <w:rPr>
          <w:rFonts w:eastAsia="" w:eastAsiaTheme="minorEastAsia"/>
          <w:sz w:val="24"/>
        </w:rPr>
        <w:t xml:space="preserve">gdzie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m</m:t>
            </m:r>
          </m:sub>
        </m:sSub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Δ</m:t>
            </m:r>
            <m:r>
              <w:rPr>
                <w:rFonts w:ascii="Cambria Math" w:hAnsi="Cambria Math"/>
              </w:rPr>
              <m:t xml:space="preserve">t</m:t>
            </m:r>
          </m:num>
          <m:den>
            <m:r>
              <w:rPr>
                <w:rFonts w:ascii="Cambria Math" w:hAnsi="Cambria Math"/>
              </w:rPr>
              <m:t xml:space="preserve">10</m:t>
            </m:r>
          </m:den>
        </m:f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01</m:t>
        </m:r>
        <m:r>
          <w:rPr>
            <w:rFonts w:ascii="Cambria Math" w:hAnsi="Cambria Math"/>
          </w:rPr>
          <m:t xml:space="preserve">s</m:t>
        </m:r>
      </m:oMath>
      <w:r>
        <w:rPr>
          <w:rFonts w:eastAsia="" w:eastAsiaTheme="minorEastAsia"/>
          <w:sz w:val="24"/>
          <w:szCs w:val="24"/>
        </w:rPr>
        <w:t xml:space="preserve"> (z różniczki zupełnej)</w:t>
      </w:r>
    </w:p>
    <w:p>
      <w:pPr>
        <w:pStyle w:val="Normal"/>
        <w:spacing w:lineRule="auto" w:line="240" w:before="0" w:after="0"/>
        <w:jc w:val="both"/>
        <w:rPr>
          <w:rFonts w:eastAsia="" w:eastAsiaTheme="minorEastAsia"/>
          <w:sz w:val="24"/>
        </w:rPr>
      </w:pPr>
      <w:r>
        <w:rPr>
          <w:rFonts w:eastAsia="" w:eastAsiaTheme="minorEastAsia"/>
          <w:sz w:val="24"/>
        </w:rPr>
      </w:r>
    </w:p>
    <w:tbl>
      <w:tblPr>
        <w:tblStyle w:val="Tabela-Siatka"/>
        <w:tblW w:w="777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96"/>
        <w:gridCol w:w="1559"/>
        <w:gridCol w:w="1561"/>
        <w:gridCol w:w="1276"/>
        <w:gridCol w:w="1278"/>
      </w:tblGrid>
      <w:tr>
        <w:trPr>
          <w:trHeight w:val="285" w:hRule="atLeast"/>
        </w:trPr>
        <w:tc>
          <w:tcPr>
            <w:tcW w:w="209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Dł. wachadła l (cm)</w:t>
            </w:r>
          </w:p>
        </w:tc>
        <w:tc>
          <w:tcPr>
            <w:tcW w:w="15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Czas t</w:t>
            </w:r>
            <w:r>
              <w:rPr>
                <w:rFonts w:eastAsia="Calibri" w:cs="" w:ascii="Cambria Math" w:hAnsi="Cambria Math"/>
                <w:kern w:val="0"/>
                <w:sz w:val="22"/>
                <w:szCs w:val="22"/>
                <w:vertAlign w:val="subscript"/>
                <w:lang w:val="pl-PL" w:eastAsia="en-US" w:bidi="ar-SA"/>
              </w:rPr>
              <w:t xml:space="preserve">śr </w:t>
            </w: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(s)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 xml:space="preserve">Okres </w:t>
            </w:r>
            <w:r>
              <w:rPr>
                <w:rFonts w:eastAsia="Calibri" w:cs=""/>
                <w:kern w:val="0"/>
                <w:sz w:val="22"/>
                <w:szCs w:val="22"/>
                <w:lang w:val="pl-PL" w:eastAsia="en-US" w:bidi="ar-SA"/>
              </w:rPr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m</m:t>
                  </m:r>
                </m:sub>
              </m:sSub>
            </m:oMath>
            <w:r>
              <w:rPr>
                <w:rFonts w:eastAsia="" w:cs="" w:ascii="Cambria Math" w:hAnsi="Cambria Math" w:eastAsiaTheme="minorEastAsia"/>
                <w:kern w:val="0"/>
                <w:sz w:val="24"/>
                <w:szCs w:val="22"/>
                <w:lang w:val="pl-PL" w:eastAsia="en-US" w:bidi="ar-SA"/>
              </w:rPr>
              <w:t xml:space="preserve"> (s)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l-PL" w:eastAsia="en-US" w:bidi="ar-SA"/>
              </w:rPr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g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m</m:t>
                  </m:r>
                </m:sub>
              </m:sSub>
              <m:d>
                <m:dPr>
                  <m:begChr m:val="("/>
                  <m:endChr m:val=")"/>
                </m:dPr>
                <m:e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m</m:t>
                      </m:r>
                    </m:num>
                    <m:den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Fonts w:eastAsia="" w:cs="" w:ascii="Cambria Math" w:hAnsi="Cambria Math" w:eastAsiaTheme="minorEastAsia"/>
                <w:kern w:val="0"/>
                <w:sz w:val="24"/>
                <w:szCs w:val="22"/>
                <w:lang w:val="pl-PL" w:eastAsia="en-US" w:bidi="ar-SA"/>
              </w:rPr>
              <w:t xml:space="preserve"> </w:t>
            </w:r>
          </w:p>
        </w:tc>
        <w:tc>
          <w:tcPr>
            <w:tcW w:w="12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Times New Roman"/>
                <w:sz w:val="24"/>
              </w:rPr>
            </w:pPr>
            <w:r>
              <w:rPr>
                <w:kern w:val="0"/>
                <w:szCs w:val="22"/>
                <w:lang w:val="pl-PL"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Δ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m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num>
                      <m:den>
                        <m:sSup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s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sup>
                        </m:sSup>
                      </m:den>
                    </m:f>
                  </m:e>
                </m:d>
              </m:oMath>
            </m:oMathPara>
          </w:p>
        </w:tc>
      </w:tr>
      <w:tr>
        <w:trPr>
          <w:trHeight w:val="295" w:hRule="atLeast"/>
        </w:trPr>
        <w:tc>
          <w:tcPr>
            <w:tcW w:w="209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50</w:t>
            </w:r>
          </w:p>
        </w:tc>
        <w:tc>
          <w:tcPr>
            <w:tcW w:w="15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14,476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1,448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9,420037</w:t>
            </w:r>
          </w:p>
        </w:tc>
        <w:tc>
          <w:tcPr>
            <w:tcW w:w="12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0,318551</w:t>
            </w:r>
          </w:p>
        </w:tc>
      </w:tr>
      <w:tr>
        <w:trPr>
          <w:trHeight w:val="285" w:hRule="atLeast"/>
        </w:trPr>
        <w:tc>
          <w:tcPr>
            <w:tcW w:w="209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40</w:t>
            </w:r>
          </w:p>
        </w:tc>
        <w:tc>
          <w:tcPr>
            <w:tcW w:w="15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12,770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1,277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9,684130</w:t>
            </w:r>
          </w:p>
        </w:tc>
        <w:tc>
          <w:tcPr>
            <w:tcW w:w="12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0,393777</w:t>
            </w:r>
          </w:p>
        </w:tc>
      </w:tr>
      <w:tr>
        <w:trPr>
          <w:trHeight w:val="285" w:hRule="atLeast"/>
        </w:trPr>
        <w:tc>
          <w:tcPr>
            <w:tcW w:w="209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30</w:t>
            </w:r>
          </w:p>
        </w:tc>
        <w:tc>
          <w:tcPr>
            <w:tcW w:w="15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11,018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1,102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9,756673</w:t>
            </w:r>
          </w:p>
        </w:tc>
        <w:tc>
          <w:tcPr>
            <w:tcW w:w="12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0,502332</w:t>
            </w:r>
          </w:p>
        </w:tc>
      </w:tr>
      <w:tr>
        <w:trPr>
          <w:trHeight w:val="295" w:hRule="atLeast"/>
        </w:trPr>
        <w:tc>
          <w:tcPr>
            <w:tcW w:w="209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20</w:t>
            </w:r>
          </w:p>
        </w:tc>
        <w:tc>
          <w:tcPr>
            <w:tcW w:w="15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9,083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0,908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9,571125</w:t>
            </w:r>
          </w:p>
        </w:tc>
        <w:tc>
          <w:tcPr>
            <w:tcW w:w="12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0,689312</w:t>
            </w:r>
          </w:p>
        </w:tc>
      </w:tr>
      <w:tr>
        <w:trPr>
          <w:trHeight w:val="285" w:hRule="atLeast"/>
        </w:trPr>
        <w:tc>
          <w:tcPr>
            <w:tcW w:w="209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10</w:t>
            </w:r>
          </w:p>
        </w:tc>
        <w:tc>
          <w:tcPr>
            <w:tcW w:w="155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6,366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0,637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9,742534</w:t>
            </w:r>
          </w:p>
        </w:tc>
        <w:tc>
          <w:tcPr>
            <w:tcW w:w="12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1,28035</w:t>
            </w:r>
          </w:p>
        </w:tc>
      </w:tr>
      <w:tr>
        <w:trPr>
          <w:trHeight w:val="285" w:hRule="atLeast"/>
        </w:trPr>
        <w:tc>
          <w:tcPr>
            <w:tcW w:w="5216" w:type="dxa"/>
            <w:gridSpan w:val="3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Średnia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9,634900</w:t>
            </w:r>
          </w:p>
        </w:tc>
        <w:tc>
          <w:tcPr>
            <w:tcW w:w="12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0,500546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eastAsia="" w:eastAsiaTheme="minorEastAsia"/>
          <w:sz w:val="28"/>
        </w:rPr>
      </w:pPr>
      <w:r>
        <w:rPr>
          <w:rFonts w:eastAsia="" w:eastAsiaTheme="minorEastAsia"/>
          <w:sz w:val="28"/>
        </w:rPr>
      </w:r>
    </w:p>
    <w:p>
      <w:pPr>
        <w:pStyle w:val="Normal"/>
        <w:spacing w:lineRule="auto" w:line="240" w:before="0" w:after="0"/>
        <w:jc w:val="both"/>
        <w:rPr>
          <w:rFonts w:eastAsia="" w:eastAsiaTheme="minorEastAsia"/>
          <w:sz w:val="24"/>
          <w:szCs w:val="24"/>
        </w:rPr>
      </w:pPr>
      <w:r>
        <w:rPr>
          <w:rFonts w:eastAsia="" w:eastAsiaTheme="minorEastAsia"/>
          <w:sz w:val="24"/>
          <w:szCs w:val="24"/>
        </w:rPr>
        <w:t>Przykład zaokrąglenia (dla l=50cm)</w:t>
      </w:r>
    </w:p>
    <w:p>
      <w:pPr>
        <w:pStyle w:val="Normal"/>
        <w:spacing w:lineRule="auto" w:line="360" w:before="0" w:after="0"/>
        <w:contextualSpacing/>
        <w:jc w:val="left"/>
        <w:rPr>
          <w:rFonts w:eastAsia="" w:cs="Arial" w:eastAsiaTheme="minorEastAsia"/>
          <w:sz w:val="24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Δ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g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m</m:t>
                  </m:r>
                </m:sub>
              </m:sSub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32</m:t>
          </m:r>
          <m:sSub>
            <m:e>
              <m:r>
                <w:rPr>
                  <w:rFonts w:ascii="Cambria Math" w:hAnsi="Cambria Math"/>
                </w:rPr>
                <m:t xml:space="preserve">Δ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g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m</m:t>
                  </m:r>
                </m:sub>
              </m:sSub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4</m:t>
          </m:r>
        </m:oMath>
      </m:oMathPara>
    </w:p>
    <w:p>
      <w:pPr>
        <w:pStyle w:val="Normal"/>
        <w:spacing w:lineRule="auto" w:line="360" w:before="0" w:after="0"/>
        <w:contextualSpacing/>
        <w:jc w:val="left"/>
        <w:rPr>
          <w:rFonts w:eastAsia="" w:cs="Arial" w:eastAsiaTheme="minorEastAsia"/>
          <w:sz w:val="24"/>
        </w:rPr>
      </w:pPr>
      <w:r>
        <w:rPr/>
      </w:r>
      <m:oMathPara xmlns:m="http://schemas.openxmlformats.org/officeDocument/2006/math"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Δ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m</m:t>
                      </m:r>
                    </m:sub>
                  </m:sSub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Δ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m</m:t>
                      </m:r>
                    </m:sub>
                  </m:sSub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Δ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m</m:t>
                      </m:r>
                    </m:sub>
                  </m:sSub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0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4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0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32</m:t>
              </m:r>
            </m:num>
            <m:den>
              <m:r>
                <w:rPr>
                  <w:rFonts w:ascii="Cambria Math" w:hAnsi="Cambria Math"/>
                </w:rPr>
                <m:t xml:space="preserve">0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32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25</m:t>
          </m:r>
          <m:r>
            <m:rPr>
              <m:lit/>
              <m:nor/>
            </m:rPr>
            <w:rPr>
              <w:rFonts w:ascii="Cambria Math" w:hAnsi="Cambria Math"/>
            </w:rPr>
            <m:t xml:space="preserve">%</m:t>
          </m:r>
        </m:oMath>
      </m:oMathPara>
    </w:p>
    <w:p>
      <w:pPr>
        <w:pStyle w:val="Normal"/>
        <w:spacing w:lineRule="auto" w:line="360" w:before="0" w:after="0"/>
        <w:contextualSpacing/>
        <w:rPr>
          <w:rFonts w:eastAsia="" w:cs="Arial" w:eastAsiaTheme="minorEastAsia"/>
          <w:sz w:val="24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25</m:t>
        </m:r>
        <m:r>
          <m:rPr>
            <m:lit/>
            <m:nor/>
          </m:rPr>
          <w:rPr>
            <w:rFonts w:ascii="Cambria Math" w:hAnsi="Cambria Math"/>
          </w:rPr>
          <m:t xml:space="preserve">%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10</m:t>
        </m:r>
        <m:r>
          <m:rPr>
            <m:lit/>
            <m:nor/>
          </m:rPr>
          <w:rPr>
            <w:rFonts w:ascii="Cambria Math" w:hAnsi="Cambria Math"/>
          </w:rPr>
          <m:t xml:space="preserve">%</m:t>
        </m:r>
      </m:oMath>
      <w:r>
        <w:rPr>
          <w:rFonts w:eastAsia="" w:cs="Arial" w:eastAsiaTheme="minorEastAsia"/>
          <w:sz w:val="24"/>
        </w:rPr>
        <w:t xml:space="preserve"> </w:t>
      </w:r>
      <w:r>
        <w:rPr>
          <w:rFonts w:eastAsia="" w:cs="Arial" w:eastAsiaTheme="minorEastAsia"/>
          <w:sz w:val="24"/>
        </w:rPr>
        <w:t xml:space="preserve">więc zostawiamy błąd z dokładnością do 2 cyfr znaczących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Δ</m:t>
            </m:r>
            <m:sSub>
              <m:e>
                <m:r>
                  <w:rPr>
                    <w:rFonts w:ascii="Cambria Math" w:hAnsi="Cambria Math"/>
                  </w:rPr>
                  <m:t xml:space="preserve">g</m:t>
                </m:r>
              </m:e>
              <m:sub>
                <m:r>
                  <w:rPr>
                    <w:rFonts w:ascii="Cambria Math" w:hAnsi="Cambria Math"/>
                  </w:rPr>
                  <m:t xml:space="preserve">m</m:t>
                </m:r>
              </m:sub>
            </m:sSub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</m:oMath>
    </w:p>
    <w:p>
      <w:pPr>
        <w:pStyle w:val="Normal"/>
        <w:spacing w:lineRule="auto" w:line="360" w:before="0" w:after="0"/>
        <w:contextualSpacing/>
        <w:jc w:val="left"/>
        <w:rPr>
          <w:rFonts w:eastAsia="" w:cs="Arial" w:eastAsiaTheme="minorEastAsia"/>
          <w:sz w:val="24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Δ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g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m</m:t>
                  </m:r>
                </m:sub>
              </m:sSub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32</m:t>
          </m:r>
        </m:oMath>
      </m:oMathPara>
    </w:p>
    <w:p>
      <w:pPr>
        <w:pStyle w:val="Normal"/>
        <w:spacing w:lineRule="auto" w:line="360" w:before="0" w:after="0"/>
        <w:contextualSpacing/>
        <w:rPr>
          <w:rFonts w:eastAsia="" w:cs="Arial" w:eastAsiaTheme="minorEastAsia"/>
          <w:sz w:val="24"/>
        </w:rPr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g</m:t>
            </m:r>
          </m:e>
          <m:sub>
            <m:r>
              <w:rPr>
                <w:rFonts w:ascii="Cambria Math" w:hAnsi="Cambria Math"/>
              </w:rPr>
              <m:t xml:space="preserve">m</m:t>
            </m:r>
          </m:sub>
        </m:sSub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9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42</m:t>
            </m:r>
            <m:r>
              <w:rPr>
                <w:rFonts w:ascii="Cambria Math" w:hAnsi="Cambria Math"/>
              </w:rPr>
              <m:t xml:space="preserve">±</m:t>
            </m:r>
            <m:r>
              <w:rPr>
                <w:rFonts w:ascii="Cambria Math" w:hAnsi="Cambria Math"/>
              </w:rPr>
              <m:t xml:space="preserve">0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32</m:t>
            </m:r>
          </m:e>
        </m:d>
      </m:oMath>
      <w:r>
        <w:rPr>
          <w:rFonts w:eastAsia="" w:cs="Arial" w:eastAsiaTheme="minorEastAsia"/>
          <w:sz w:val="24"/>
        </w:rPr>
        <w:t xml:space="preserve">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m</m:t>
            </m:r>
          </m:num>
          <m:den>
            <m:sSup>
              <m:e>
                <m:r>
                  <w:rPr>
                    <w:rFonts w:ascii="Cambria Math" w:hAnsi="Cambria Math"/>
                  </w:rPr>
                  <m:t xml:space="preserve">s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den>
        </m:f>
      </m:oMath>
    </w:p>
    <w:p>
      <w:pPr>
        <w:pStyle w:val="Normal"/>
        <w:spacing w:lineRule="auto" w:line="360" w:before="0" w:after="0"/>
        <w:contextualSpacing/>
        <w:rPr>
          <w:rFonts w:eastAsia="" w:cs="Arial" w:eastAsiaTheme="minorEastAsia"/>
          <w:sz w:val="24"/>
        </w:rPr>
      </w:pPr>
      <w:r>
        <w:rPr>
          <w:rFonts w:eastAsia="" w:cs="Arial" w:eastAsiaTheme="minorEastAsia"/>
          <w:sz w:val="24"/>
        </w:rPr>
        <w:t>Ostateczny, zaokrąglony wynik:</w:t>
      </w:r>
    </w:p>
    <w:tbl>
      <w:tblPr>
        <w:tblStyle w:val="Tabela-Siatka"/>
        <w:tblW w:w="45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92"/>
        <w:gridCol w:w="2407"/>
      </w:tblGrid>
      <w:tr>
        <w:trPr>
          <w:trHeight w:val="285" w:hRule="atLeast"/>
        </w:trPr>
        <w:tc>
          <w:tcPr>
            <w:tcW w:w="20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Dł. wachadła l (cm)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l-PL" w:eastAsia="en-US" w:bidi="ar-SA"/>
              </w:rPr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g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m</m:t>
                  </m:r>
                </m:sub>
              </m:sSub>
              <m:d>
                <m:dPr>
                  <m:begChr m:val="("/>
                  <m:endChr m:val=")"/>
                </m:dPr>
                <m:e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m</m:t>
                      </m:r>
                    </m:num>
                    <m:den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Fonts w:eastAsia="" w:cs="" w:ascii="Cambria Math" w:hAnsi="Cambria Math" w:eastAsiaTheme="minorEastAsia"/>
                <w:kern w:val="0"/>
                <w:sz w:val="24"/>
                <w:szCs w:val="22"/>
                <w:lang w:val="pl-PL" w:eastAsia="en-US" w:bidi="ar-SA"/>
              </w:rPr>
              <w:t xml:space="preserve"> </w:t>
            </w:r>
          </w:p>
        </w:tc>
      </w:tr>
      <w:tr>
        <w:trPr>
          <w:trHeight w:val="295" w:hRule="atLeast"/>
        </w:trPr>
        <w:tc>
          <w:tcPr>
            <w:tcW w:w="20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50</w:t>
            </w:r>
          </w:p>
        </w:tc>
        <w:tc>
          <w:tcPr>
            <w:tcW w:w="2407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l-PL"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9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42</m:t>
                </m:r>
                <m:r>
                  <w:rPr>
                    <w:rFonts w:ascii="Cambria Math" w:hAnsi="Cambria Math"/>
                  </w:rPr>
                  <m:t xml:space="preserve">±</m:t>
                </m:r>
                <m:r>
                  <w:rPr>
                    <w:rFonts w:ascii="Cambria Math" w:hAnsi="Cambria Math"/>
                  </w:rPr>
                  <m:t xml:space="preserve">0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32</m:t>
                </m:r>
              </m:oMath>
            </m:oMathPara>
          </w:p>
        </w:tc>
      </w:tr>
      <w:tr>
        <w:trPr>
          <w:trHeight w:val="285" w:hRule="atLeast"/>
        </w:trPr>
        <w:tc>
          <w:tcPr>
            <w:tcW w:w="20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40</w:t>
            </w:r>
          </w:p>
        </w:tc>
        <w:tc>
          <w:tcPr>
            <w:tcW w:w="2407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l-PL"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9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7</m:t>
                </m:r>
                <m:r>
                  <w:rPr>
                    <w:rFonts w:ascii="Cambria Math" w:hAnsi="Cambria Math"/>
                  </w:rPr>
                  <m:t xml:space="preserve">±</m:t>
                </m:r>
                <m:r>
                  <w:rPr>
                    <w:rFonts w:ascii="Cambria Math" w:hAnsi="Cambria Math"/>
                  </w:rPr>
                  <m:t xml:space="preserve">0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4</m:t>
                </m:r>
              </m:oMath>
            </m:oMathPara>
          </w:p>
        </w:tc>
      </w:tr>
      <w:tr>
        <w:trPr>
          <w:trHeight w:val="285" w:hRule="atLeast"/>
        </w:trPr>
        <w:tc>
          <w:tcPr>
            <w:tcW w:w="20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30</w:t>
            </w:r>
          </w:p>
        </w:tc>
        <w:tc>
          <w:tcPr>
            <w:tcW w:w="2407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l-PL"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9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8</m:t>
                </m:r>
                <m:r>
                  <w:rPr>
                    <w:rFonts w:ascii="Cambria Math" w:hAnsi="Cambria Math"/>
                  </w:rPr>
                  <m:t xml:space="preserve">±</m:t>
                </m:r>
                <m:r>
                  <w:rPr>
                    <w:rFonts w:ascii="Cambria Math" w:hAnsi="Cambria Math"/>
                  </w:rPr>
                  <m:t xml:space="preserve">0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5</m:t>
                </m:r>
              </m:oMath>
            </m:oMathPara>
          </w:p>
        </w:tc>
      </w:tr>
      <w:tr>
        <w:trPr>
          <w:trHeight w:val="295" w:hRule="atLeast"/>
        </w:trPr>
        <w:tc>
          <w:tcPr>
            <w:tcW w:w="20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20</w:t>
            </w:r>
          </w:p>
        </w:tc>
        <w:tc>
          <w:tcPr>
            <w:tcW w:w="2407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l-PL"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9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6</m:t>
                </m:r>
                <m:r>
                  <w:rPr>
                    <w:rFonts w:ascii="Cambria Math" w:hAnsi="Cambria Math"/>
                  </w:rPr>
                  <m:t xml:space="preserve">±</m:t>
                </m:r>
                <m:r>
                  <w:rPr>
                    <w:rFonts w:ascii="Cambria Math" w:hAnsi="Cambria Math"/>
                  </w:rPr>
                  <m:t xml:space="preserve">0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7</m:t>
                </m:r>
              </m:oMath>
            </m:oMathPara>
          </w:p>
        </w:tc>
      </w:tr>
      <w:tr>
        <w:trPr>
          <w:trHeight w:val="285" w:hRule="atLeast"/>
        </w:trPr>
        <w:tc>
          <w:tcPr>
            <w:tcW w:w="20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10</w:t>
            </w:r>
          </w:p>
        </w:tc>
        <w:tc>
          <w:tcPr>
            <w:tcW w:w="2407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l-PL"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9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7</m:t>
                </m:r>
                <m:r>
                  <w:rPr>
                    <w:rFonts w:ascii="Cambria Math" w:hAnsi="Cambria Math"/>
                  </w:rPr>
                  <m:t xml:space="preserve">±</m:t>
                </m:r>
                <m:r>
                  <w:rPr>
                    <w:rFonts w:ascii="Cambria Math" w:hAnsi="Cambria Math"/>
                  </w:rPr>
                  <m:t xml:space="preserve">1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3</m:t>
                </m:r>
              </m:oMath>
            </m:oMathPara>
          </w:p>
        </w:tc>
      </w:tr>
      <w:tr>
        <w:trPr>
          <w:trHeight w:val="285" w:hRule="atLeast"/>
        </w:trPr>
        <w:tc>
          <w:tcPr>
            <w:tcW w:w="20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l-PL" w:eastAsia="en-US" w:bidi="ar-SA"/>
              </w:rPr>
              <w:t>Średnia</w:t>
            </w:r>
          </w:p>
        </w:tc>
        <w:tc>
          <w:tcPr>
            <w:tcW w:w="2407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l-PL"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9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6</m:t>
                </m:r>
                <m:r>
                  <w:rPr>
                    <w:rFonts w:ascii="Cambria Math" w:hAnsi="Cambria Math"/>
                  </w:rPr>
                  <m:t xml:space="preserve">±</m:t>
                </m:r>
                <m:r>
                  <w:rPr>
                    <w:rFonts w:ascii="Cambria Math" w:hAnsi="Cambria Math"/>
                  </w:rPr>
                  <m:t xml:space="preserve">0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5</m:t>
                </m:r>
              </m:oMath>
            </m:oMathPara>
          </w:p>
        </w:tc>
      </w:tr>
    </w:tbl>
    <w:p>
      <w:pPr>
        <w:pStyle w:val="Normal"/>
        <w:spacing w:lineRule="auto" w:line="240" w:before="0" w:after="0"/>
        <w:jc w:val="both"/>
        <w:rPr>
          <w:rFonts w:eastAsia="" w:eastAsiaTheme="minorEastAsia"/>
          <w:sz w:val="24"/>
        </w:rPr>
      </w:pPr>
      <w:r>
        <w:rPr>
          <w:rFonts w:eastAsia="" w:eastAsiaTheme="minorEastAsia"/>
          <w:sz w:val="24"/>
        </w:rPr>
      </w:r>
    </w:p>
    <w:p>
      <w:pPr>
        <w:pStyle w:val="Normal"/>
        <w:spacing w:lineRule="auto" w:line="240" w:before="0" w:after="0"/>
        <w:jc w:val="both"/>
        <w:rPr>
          <w:rFonts w:eastAsia="" w:eastAsiaTheme="minorEastAsia"/>
          <w:sz w:val="28"/>
        </w:rPr>
      </w:pPr>
      <w:r>
        <w:rPr>
          <w:rFonts w:eastAsia="" w:eastAsiaTheme="minorEastAsia"/>
          <w:sz w:val="28"/>
        </w:rPr>
        <w:t>Wahadło rewersyjne:</w:t>
      </w:r>
    </w:p>
    <w:p>
      <w:pPr>
        <w:pStyle w:val="Normal"/>
        <w:spacing w:lineRule="auto" w:line="240" w:before="0" w:after="0"/>
        <w:jc w:val="both"/>
        <w:rPr>
          <w:rFonts w:eastAsia="" w:eastAsiaTheme="minorEastAsia"/>
          <w:sz w:val="28"/>
        </w:rPr>
      </w:pPr>
      <w:r>
        <w:rPr>
          <w:rFonts w:eastAsia="" w:eastAsiaTheme="minorEastAsia"/>
          <w:sz w:val="28"/>
        </w:rPr>
      </w:r>
    </w:p>
    <w:p>
      <w:pPr>
        <w:pStyle w:val="Normal"/>
        <w:spacing w:lineRule="auto" w:line="240" w:before="0" w:after="0"/>
        <w:ind w:right="-426"/>
        <w:rPr>
          <w:rFonts w:eastAsia="" w:eastAsiaTheme="minorEastAsia"/>
          <w:sz w:val="24"/>
          <w:szCs w:val="24"/>
        </w:rPr>
      </w:pPr>
      <w:r>
        <w:rPr>
          <w:rFonts w:eastAsia="" w:eastAsiaTheme="minorEastAsia"/>
          <w:sz w:val="24"/>
          <w:szCs w:val="24"/>
        </w:rPr>
        <w:t>Wahadło rewersyjne (10 okresów):</w:t>
        <w:tab/>
        <w:t xml:space="preserve">                Wahadło rewersyjne odwrócone (10 okresów):</w:t>
      </w:r>
    </w:p>
    <w:tbl>
      <w:tblPr>
        <w:tblStyle w:val="Tabela-Siatka"/>
        <w:tblW w:w="776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808"/>
        <w:gridCol w:w="1277"/>
        <w:gridCol w:w="1409"/>
        <w:gridCol w:w="1850"/>
        <w:gridCol w:w="1419"/>
      </w:tblGrid>
      <w:tr>
        <w:trPr/>
        <w:tc>
          <w:tcPr>
            <w:tcW w:w="18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Położenie soczewki x (cm)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Czas t</w:t>
            </w:r>
            <w:r>
              <w:rPr>
                <w:rFonts w:eastAsia="Calibri" w:cs="" w:ascii="Cambria Math" w:hAnsi="Cambria Math"/>
                <w:kern w:val="0"/>
                <w:sz w:val="22"/>
                <w:szCs w:val="22"/>
                <w:vertAlign w:val="subscript"/>
                <w:lang w:val="pl-PL" w:eastAsia="en-US" w:bidi="ar-SA"/>
              </w:rPr>
              <w:t>A</w:t>
            </w: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 xml:space="preserve"> (s)</w:t>
            </w:r>
          </w:p>
        </w:tc>
        <w:tc>
          <w:tcPr>
            <w:tcW w:w="1409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mbria Math" w:hAnsi="Cambria Math" w:eastAsia="" w:eastAsiaTheme="minorEastAsia"/>
                <w:sz w:val="28"/>
              </w:rPr>
            </w:pPr>
            <w:r>
              <w:rPr>
                <w:rFonts w:eastAsia="" w:cs="" w:eastAsiaTheme="minorEastAsia" w:ascii="Cambria Math" w:hAnsi="Cambria Math"/>
                <w:kern w:val="0"/>
                <w:sz w:val="28"/>
                <w:szCs w:val="22"/>
                <w:lang w:val="pl-PL" w:eastAsia="en-US" w:bidi="ar-SA"/>
              </w:rPr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Położenie soczewki x (cm)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Czas t</w:t>
            </w:r>
            <w:r>
              <w:rPr>
                <w:rFonts w:eastAsia="Calibri" w:cs="" w:ascii="Cambria Math" w:hAnsi="Cambria Math"/>
                <w:kern w:val="0"/>
                <w:sz w:val="22"/>
                <w:szCs w:val="22"/>
                <w:vertAlign w:val="subscript"/>
                <w:lang w:val="pl-PL" w:eastAsia="en-US" w:bidi="ar-SA"/>
              </w:rPr>
              <w:t>B</w:t>
            </w: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 xml:space="preserve"> (s)</w:t>
            </w:r>
          </w:p>
        </w:tc>
      </w:tr>
      <w:tr>
        <w:trPr/>
        <w:tc>
          <w:tcPr>
            <w:tcW w:w="18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100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19,617</w:t>
            </w:r>
          </w:p>
        </w:tc>
        <w:tc>
          <w:tcPr>
            <w:tcW w:w="1409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mbria Math" w:hAnsi="Cambria Math" w:eastAsia="" w:eastAsiaTheme="minorEastAsia"/>
                <w:sz w:val="28"/>
              </w:rPr>
            </w:pPr>
            <w:r>
              <w:rPr>
                <w:rFonts w:eastAsia="" w:cs="" w:eastAsiaTheme="minorEastAsia" w:ascii="Cambria Math" w:hAnsi="Cambria Math"/>
                <w:kern w:val="0"/>
                <w:sz w:val="28"/>
                <w:szCs w:val="22"/>
                <w:lang w:val="pl-PL" w:eastAsia="en-US" w:bidi="ar-SA"/>
              </w:rPr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12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20,603</w:t>
            </w:r>
          </w:p>
        </w:tc>
      </w:tr>
      <w:tr>
        <w:trPr/>
        <w:tc>
          <w:tcPr>
            <w:tcW w:w="18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95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19,640</w:t>
            </w:r>
          </w:p>
        </w:tc>
        <w:tc>
          <w:tcPr>
            <w:tcW w:w="1409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mbria Math" w:hAnsi="Cambria Math" w:eastAsia="" w:eastAsiaTheme="minorEastAsia"/>
                <w:sz w:val="28"/>
              </w:rPr>
            </w:pPr>
            <w:r>
              <w:rPr>
                <w:rFonts w:eastAsia="" w:cs="" w:eastAsiaTheme="minorEastAsia" w:ascii="Cambria Math" w:hAnsi="Cambria Math"/>
                <w:kern w:val="0"/>
                <w:sz w:val="28"/>
                <w:szCs w:val="22"/>
                <w:lang w:val="pl-PL" w:eastAsia="en-US" w:bidi="ar-SA"/>
              </w:rPr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17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20,249</w:t>
            </w:r>
          </w:p>
        </w:tc>
      </w:tr>
      <w:tr>
        <w:trPr/>
        <w:tc>
          <w:tcPr>
            <w:tcW w:w="18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90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19,485</w:t>
            </w:r>
          </w:p>
        </w:tc>
        <w:tc>
          <w:tcPr>
            <w:tcW w:w="1409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mbria Math" w:hAnsi="Cambria Math" w:eastAsia="" w:eastAsiaTheme="minorEastAsia"/>
                <w:sz w:val="28"/>
              </w:rPr>
            </w:pPr>
            <w:r>
              <w:rPr>
                <w:rFonts w:eastAsia="" w:cs="" w:eastAsiaTheme="minorEastAsia" w:ascii="Cambria Math" w:hAnsi="Cambria Math"/>
                <w:kern w:val="0"/>
                <w:sz w:val="28"/>
                <w:szCs w:val="22"/>
                <w:lang w:val="pl-PL" w:eastAsia="en-US" w:bidi="ar-SA"/>
              </w:rPr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22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19,902</w:t>
            </w:r>
          </w:p>
        </w:tc>
      </w:tr>
      <w:tr>
        <w:trPr/>
        <w:tc>
          <w:tcPr>
            <w:tcW w:w="18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85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19,748</w:t>
            </w:r>
          </w:p>
        </w:tc>
        <w:tc>
          <w:tcPr>
            <w:tcW w:w="1409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mbria Math" w:hAnsi="Cambria Math" w:eastAsia="" w:eastAsiaTheme="minorEastAsia"/>
                <w:sz w:val="28"/>
              </w:rPr>
            </w:pPr>
            <w:r>
              <w:rPr>
                <w:rFonts w:eastAsia="" w:cs="" w:eastAsiaTheme="minorEastAsia" w:ascii="Cambria Math" w:hAnsi="Cambria Math"/>
                <w:kern w:val="0"/>
                <w:sz w:val="28"/>
                <w:szCs w:val="22"/>
                <w:lang w:val="pl-PL" w:eastAsia="en-US" w:bidi="ar-SA"/>
              </w:rPr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27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19,572</w:t>
            </w:r>
          </w:p>
        </w:tc>
      </w:tr>
      <w:tr>
        <w:trPr/>
        <w:tc>
          <w:tcPr>
            <w:tcW w:w="18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80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19,570</w:t>
            </w:r>
          </w:p>
        </w:tc>
        <w:tc>
          <w:tcPr>
            <w:tcW w:w="1409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mbria Math" w:hAnsi="Cambria Math" w:eastAsia="" w:eastAsiaTheme="minorEastAsia"/>
                <w:sz w:val="28"/>
              </w:rPr>
            </w:pPr>
            <w:r>
              <w:rPr>
                <w:rFonts w:eastAsia="" w:cs="" w:eastAsiaTheme="minorEastAsia" w:ascii="Cambria Math" w:hAnsi="Cambria Math"/>
                <w:kern w:val="0"/>
                <w:sz w:val="28"/>
                <w:szCs w:val="22"/>
                <w:lang w:val="pl-PL" w:eastAsia="en-US" w:bidi="ar-SA"/>
              </w:rPr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32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18,259</w:t>
            </w:r>
          </w:p>
        </w:tc>
      </w:tr>
      <w:tr>
        <w:trPr/>
        <w:tc>
          <w:tcPr>
            <w:tcW w:w="18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75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19,122</w:t>
            </w:r>
          </w:p>
        </w:tc>
        <w:tc>
          <w:tcPr>
            <w:tcW w:w="1409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mbria Math" w:hAnsi="Cambria Math" w:eastAsia="" w:eastAsiaTheme="minorEastAsia"/>
                <w:sz w:val="28"/>
              </w:rPr>
            </w:pPr>
            <w:r>
              <w:rPr>
                <w:rFonts w:eastAsia="" w:cs="" w:eastAsiaTheme="minorEastAsia" w:ascii="Cambria Math" w:hAnsi="Cambria Math"/>
                <w:kern w:val="0"/>
                <w:sz w:val="28"/>
                <w:szCs w:val="22"/>
                <w:lang w:val="pl-PL" w:eastAsia="en-US" w:bidi="ar-SA"/>
              </w:rPr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37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18,945</w:t>
            </w:r>
          </w:p>
        </w:tc>
      </w:tr>
      <w:tr>
        <w:trPr/>
        <w:tc>
          <w:tcPr>
            <w:tcW w:w="18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70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19,029</w:t>
            </w:r>
          </w:p>
        </w:tc>
        <w:tc>
          <w:tcPr>
            <w:tcW w:w="1409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mbria Math" w:hAnsi="Cambria Math" w:eastAsia="" w:eastAsiaTheme="minorEastAsia"/>
                <w:sz w:val="28"/>
              </w:rPr>
            </w:pPr>
            <w:r>
              <w:rPr>
                <w:rFonts w:eastAsia="" w:cs="" w:eastAsiaTheme="minorEastAsia" w:ascii="Cambria Math" w:hAnsi="Cambria Math"/>
                <w:kern w:val="0"/>
                <w:sz w:val="28"/>
                <w:szCs w:val="22"/>
                <w:lang w:val="pl-PL" w:eastAsia="en-US" w:bidi="ar-SA"/>
              </w:rPr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42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18,673</w:t>
            </w:r>
          </w:p>
        </w:tc>
      </w:tr>
      <w:tr>
        <w:trPr/>
        <w:tc>
          <w:tcPr>
            <w:tcW w:w="18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65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18,975</w:t>
            </w:r>
          </w:p>
        </w:tc>
        <w:tc>
          <w:tcPr>
            <w:tcW w:w="1409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mbria Math" w:hAnsi="Cambria Math" w:eastAsia="" w:eastAsiaTheme="minorEastAsia"/>
                <w:sz w:val="28"/>
              </w:rPr>
            </w:pPr>
            <w:r>
              <w:rPr>
                <w:rFonts w:eastAsia="" w:cs="" w:eastAsiaTheme="minorEastAsia" w:ascii="Cambria Math" w:hAnsi="Cambria Math"/>
                <w:kern w:val="0"/>
                <w:sz w:val="28"/>
                <w:szCs w:val="22"/>
                <w:lang w:val="pl-PL" w:eastAsia="en-US" w:bidi="ar-SA"/>
              </w:rPr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47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18,449</w:t>
            </w:r>
          </w:p>
        </w:tc>
      </w:tr>
      <w:tr>
        <w:trPr/>
        <w:tc>
          <w:tcPr>
            <w:tcW w:w="18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60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18,927</w:t>
            </w:r>
          </w:p>
        </w:tc>
        <w:tc>
          <w:tcPr>
            <w:tcW w:w="1409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mbria Math" w:hAnsi="Cambria Math" w:eastAsia="" w:eastAsiaTheme="minorEastAsia"/>
                <w:sz w:val="28"/>
              </w:rPr>
            </w:pPr>
            <w:r>
              <w:rPr>
                <w:rFonts w:eastAsia="" w:cs="" w:eastAsiaTheme="minorEastAsia" w:ascii="Cambria Math" w:hAnsi="Cambria Math"/>
                <w:kern w:val="0"/>
                <w:sz w:val="28"/>
                <w:szCs w:val="22"/>
                <w:lang w:val="pl-PL" w:eastAsia="en-US" w:bidi="ar-SA"/>
              </w:rPr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52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18,267</w:t>
            </w:r>
          </w:p>
        </w:tc>
      </w:tr>
      <w:tr>
        <w:trPr/>
        <w:tc>
          <w:tcPr>
            <w:tcW w:w="18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55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19,526</w:t>
            </w:r>
          </w:p>
        </w:tc>
        <w:tc>
          <w:tcPr>
            <w:tcW w:w="1409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mbria Math" w:hAnsi="Cambria Math" w:eastAsia="" w:eastAsiaTheme="minorEastAsia"/>
                <w:sz w:val="28"/>
              </w:rPr>
            </w:pPr>
            <w:r>
              <w:rPr>
                <w:rFonts w:eastAsia="" w:cs="" w:eastAsiaTheme="minorEastAsia" w:ascii="Cambria Math" w:hAnsi="Cambria Math"/>
                <w:kern w:val="0"/>
                <w:sz w:val="28"/>
                <w:szCs w:val="22"/>
                <w:lang w:val="pl-PL" w:eastAsia="en-US" w:bidi="ar-SA"/>
              </w:rPr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57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18,145</w:t>
            </w:r>
          </w:p>
        </w:tc>
      </w:tr>
      <w:tr>
        <w:trPr/>
        <w:tc>
          <w:tcPr>
            <w:tcW w:w="18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50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18,947</w:t>
            </w:r>
          </w:p>
        </w:tc>
        <w:tc>
          <w:tcPr>
            <w:tcW w:w="1409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mbria Math" w:hAnsi="Cambria Math" w:eastAsia="" w:eastAsiaTheme="minorEastAsia"/>
                <w:sz w:val="28"/>
              </w:rPr>
            </w:pPr>
            <w:r>
              <w:rPr>
                <w:rFonts w:eastAsia="" w:cs="" w:eastAsiaTheme="minorEastAsia" w:ascii="Cambria Math" w:hAnsi="Cambria Math"/>
                <w:kern w:val="0"/>
                <w:sz w:val="28"/>
                <w:szCs w:val="22"/>
                <w:lang w:val="pl-PL" w:eastAsia="en-US" w:bidi="ar-SA"/>
              </w:rPr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62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18,722</w:t>
            </w:r>
          </w:p>
        </w:tc>
      </w:tr>
      <w:tr>
        <w:trPr/>
        <w:tc>
          <w:tcPr>
            <w:tcW w:w="18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45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18,997</w:t>
            </w:r>
          </w:p>
        </w:tc>
        <w:tc>
          <w:tcPr>
            <w:tcW w:w="1409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mbria Math" w:hAnsi="Cambria Math" w:eastAsia="" w:eastAsiaTheme="minorEastAsia"/>
                <w:sz w:val="28"/>
              </w:rPr>
            </w:pPr>
            <w:r>
              <w:rPr>
                <w:rFonts w:eastAsia="" w:cs="" w:eastAsiaTheme="minorEastAsia" w:ascii="Cambria Math" w:hAnsi="Cambria Math"/>
                <w:kern w:val="0"/>
                <w:sz w:val="28"/>
                <w:szCs w:val="22"/>
                <w:lang w:val="pl-PL" w:eastAsia="en-US" w:bidi="ar-SA"/>
              </w:rPr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67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18,252</w:t>
            </w:r>
          </w:p>
        </w:tc>
      </w:tr>
      <w:tr>
        <w:trPr/>
        <w:tc>
          <w:tcPr>
            <w:tcW w:w="18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40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19,076</w:t>
            </w:r>
          </w:p>
        </w:tc>
        <w:tc>
          <w:tcPr>
            <w:tcW w:w="1409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mbria Math" w:hAnsi="Cambria Math" w:eastAsia="" w:eastAsiaTheme="minorEastAsia"/>
                <w:sz w:val="28"/>
              </w:rPr>
            </w:pPr>
            <w:r>
              <w:rPr>
                <w:rFonts w:eastAsia="" w:cs="" w:eastAsiaTheme="minorEastAsia" w:ascii="Cambria Math" w:hAnsi="Cambria Math"/>
                <w:kern w:val="0"/>
                <w:sz w:val="28"/>
                <w:szCs w:val="22"/>
                <w:lang w:val="pl-PL" w:eastAsia="en-US" w:bidi="ar-SA"/>
              </w:rPr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72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18,540</w:t>
            </w:r>
          </w:p>
        </w:tc>
      </w:tr>
      <w:tr>
        <w:trPr/>
        <w:tc>
          <w:tcPr>
            <w:tcW w:w="18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35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19,210</w:t>
            </w:r>
          </w:p>
        </w:tc>
        <w:tc>
          <w:tcPr>
            <w:tcW w:w="1409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mbria Math" w:hAnsi="Cambria Math" w:eastAsia="" w:eastAsiaTheme="minorEastAsia"/>
                <w:sz w:val="28"/>
              </w:rPr>
            </w:pPr>
            <w:r>
              <w:rPr>
                <w:rFonts w:eastAsia="" w:cs="" w:eastAsiaTheme="minorEastAsia" w:ascii="Cambria Math" w:hAnsi="Cambria Math"/>
                <w:kern w:val="0"/>
                <w:sz w:val="28"/>
                <w:szCs w:val="22"/>
                <w:lang w:val="pl-PL" w:eastAsia="en-US" w:bidi="ar-SA"/>
              </w:rPr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77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19,089</w:t>
            </w:r>
          </w:p>
        </w:tc>
      </w:tr>
      <w:tr>
        <w:trPr/>
        <w:tc>
          <w:tcPr>
            <w:tcW w:w="18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30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18,496</w:t>
            </w:r>
          </w:p>
        </w:tc>
        <w:tc>
          <w:tcPr>
            <w:tcW w:w="1409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mbria Math" w:hAnsi="Cambria Math" w:eastAsia="" w:eastAsiaTheme="minorEastAsia"/>
                <w:sz w:val="28"/>
              </w:rPr>
            </w:pPr>
            <w:r>
              <w:rPr>
                <w:rFonts w:eastAsia="" w:cs="" w:eastAsiaTheme="minorEastAsia" w:ascii="Cambria Math" w:hAnsi="Cambria Math"/>
                <w:kern w:val="0"/>
                <w:sz w:val="28"/>
                <w:szCs w:val="22"/>
                <w:lang w:val="pl-PL" w:eastAsia="en-US" w:bidi="ar-SA"/>
              </w:rPr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82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19,950</w:t>
            </w:r>
          </w:p>
        </w:tc>
      </w:tr>
      <w:tr>
        <w:trPr/>
        <w:tc>
          <w:tcPr>
            <w:tcW w:w="18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25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19,539</w:t>
            </w:r>
          </w:p>
        </w:tc>
        <w:tc>
          <w:tcPr>
            <w:tcW w:w="1409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mbria Math" w:hAnsi="Cambria Math" w:eastAsia="" w:eastAsiaTheme="minorEastAsia"/>
                <w:sz w:val="28"/>
              </w:rPr>
            </w:pPr>
            <w:r>
              <w:rPr>
                <w:rFonts w:eastAsia="" w:cs="" w:eastAsiaTheme="minorEastAsia" w:ascii="Cambria Math" w:hAnsi="Cambria Math"/>
                <w:kern w:val="0"/>
                <w:sz w:val="28"/>
                <w:szCs w:val="22"/>
                <w:lang w:val="pl-PL" w:eastAsia="en-US" w:bidi="ar-SA"/>
              </w:rPr>
            </w:r>
          </w:p>
        </w:tc>
        <w:tc>
          <w:tcPr>
            <w:tcW w:w="18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87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21,478</w:t>
            </w:r>
          </w:p>
        </w:tc>
      </w:tr>
      <w:tr>
        <w:trPr/>
        <w:tc>
          <w:tcPr>
            <w:tcW w:w="18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20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 Math" w:hAnsi="Cambria Math"/>
              </w:rPr>
            </w:pPr>
            <w:r>
              <w:rPr>
                <w:rFonts w:eastAsia="Calibri" w:cs="" w:ascii="Cambria Math" w:hAnsi="Cambria Math"/>
                <w:kern w:val="0"/>
                <w:sz w:val="22"/>
                <w:szCs w:val="22"/>
                <w:lang w:val="pl-PL" w:eastAsia="en-US" w:bidi="ar-SA"/>
              </w:rPr>
              <w:t>19,769</w:t>
            </w:r>
          </w:p>
        </w:tc>
        <w:tc>
          <w:tcPr>
            <w:tcW w:w="1409" w:type="dxa"/>
            <w:tcBorders>
              <w:top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mbria Math" w:hAnsi="Cambria Math" w:eastAsia="" w:eastAsiaTheme="minorEastAsia"/>
                <w:sz w:val="28"/>
              </w:rPr>
            </w:pPr>
            <w:r>
              <w:rPr>
                <w:rFonts w:eastAsia="" w:cs="" w:eastAsiaTheme="minorEastAsia" w:ascii="Cambria Math" w:hAnsi="Cambria Math"/>
                <w:kern w:val="0"/>
                <w:sz w:val="28"/>
                <w:szCs w:val="22"/>
                <w:lang w:val="pl-PL" w:eastAsia="en-US" w:bidi="ar-SA"/>
              </w:rPr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l-PL" w:eastAsia="en-US" w:bidi="ar-SA"/>
              </w:rPr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l-PL" w:eastAsia="en-US" w:bidi="ar-SA"/>
              </w:rPr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eastAsia="" w:eastAsiaTheme="minorEastAsia"/>
          <w:sz w:val="28"/>
        </w:rPr>
      </w:pPr>
      <w:r>
        <w:rPr>
          <w:rFonts w:eastAsia="" w:eastAsiaTheme="minorEastAsia"/>
          <w:sz w:val="28"/>
        </w:rPr>
      </w:r>
    </w:p>
    <w:p>
      <w:pPr>
        <w:pStyle w:val="Normal"/>
        <w:spacing w:lineRule="auto" w:line="240" w:before="0" w:after="0"/>
        <w:jc w:val="both"/>
        <w:rPr>
          <w:rFonts w:eastAsia="" w:eastAsiaTheme="minorEastAsia"/>
          <w:sz w:val="28"/>
        </w:rPr>
      </w:pPr>
      <w:r>
        <w:rPr/>
        <w:drawing>
          <wp:inline distT="0" distB="0" distL="0" distR="0">
            <wp:extent cx="5349240" cy="2834640"/>
            <wp:effectExtent l="0" t="0" r="0" b="0"/>
            <wp:docPr id="3" name="Wykres 3" descr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>
      <w:pPr>
        <w:pStyle w:val="Normal"/>
        <w:spacing w:lineRule="auto" w:line="240" w:before="0" w:after="0"/>
        <w:jc w:val="both"/>
        <w:rPr>
          <w:rFonts w:cs="Arial"/>
          <w:color w:val="000000"/>
          <w:sz w:val="24"/>
          <w:szCs w:val="24"/>
          <w:shd w:fill="FFFFFF" w:val="clear"/>
        </w:rPr>
      </w:pPr>
      <w:r>
        <w:rPr>
          <w:rFonts w:cs="Arial"/>
          <w:color w:val="000000"/>
          <w:sz w:val="24"/>
          <w:szCs w:val="24"/>
          <w:shd w:fill="FFFFFF" w:val="clear"/>
        </w:rPr>
        <w:t>Pierwszy punkt przecięcia wykresów to czas trwania ruchu wahadła rewersyjnego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r</m:t>
            </m:r>
          </m:sub>
        </m:sSub>
      </m:oMath>
    </w:p>
    <w:p>
      <w:pPr>
        <w:pStyle w:val="Normal"/>
        <w:spacing w:lineRule="auto" w:line="240" w:before="0" w:after="0"/>
        <w:jc w:val="both"/>
        <w:rPr>
          <w:rFonts w:eastAsia="" w:cs="Arial" w:eastAsiaTheme="minorEastAsia"/>
          <w:color w:val="000000"/>
          <w:sz w:val="24"/>
          <w:szCs w:val="24"/>
          <w:shd w:fill="FFFFFF" w:val="clear"/>
        </w:rPr>
      </w:pPr>
      <w:r>
        <w:rPr>
          <w:rFonts w:cs="Arial"/>
          <w:color w:val="000000"/>
          <w:sz w:val="24"/>
          <w:szCs w:val="24"/>
          <w:shd w:fill="FFFFFF" w:val="clear"/>
        </w:rPr>
        <w:t xml:space="preserve">Punkt ten ma współrzędne: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30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71</m:t>
            </m:r>
            <m:r>
              <w:rPr>
                <w:rFonts w:ascii="Cambria Math" w:hAnsi="Cambria Math"/>
              </w:rPr>
              <m:t xml:space="preserve">;</m:t>
            </m:r>
            <m:r>
              <w:rPr>
                <w:rFonts w:ascii="Cambria Math" w:hAnsi="Cambria Math"/>
              </w:rPr>
              <m:t xml:space="preserve">18,5975</m:t>
            </m:r>
          </m:e>
        </m:d>
      </m:oMath>
      <w:r>
        <w:rPr>
          <w:rFonts w:eastAsia="" w:cs="Arial" w:eastAsiaTheme="minorEastAsia"/>
          <w:color w:val="000000"/>
          <w:sz w:val="24"/>
          <w:szCs w:val="24"/>
          <w:shd w:fill="FFFFFF" w:val="clear"/>
        </w:rPr>
        <w:t>, zatem: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color w:val="000000"/>
          <w:sz w:val="24"/>
          <w:szCs w:val="24"/>
          <w:shd w:fill="FFFFFF" w:val="clear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r>
                <w:rPr>
                  <w:rFonts w:ascii="Cambria Math" w:hAnsi="Cambria Math"/>
                </w:rPr>
                <m:t xml:space="preserve">r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18,5975</m:t>
          </m:r>
          <m:r>
            <w:rPr>
              <w:rFonts w:ascii="Cambria Math" w:hAnsi="Cambria Math"/>
            </w:rPr>
            <m:t xml:space="preserve">s</m:t>
          </m:r>
        </m:oMath>
      </m:oMathPara>
    </w:p>
    <w:p>
      <w:pPr>
        <w:pStyle w:val="Normal"/>
        <w:spacing w:lineRule="auto" w:line="240" w:before="0" w:after="0"/>
        <w:jc w:val="center"/>
        <w:rPr>
          <w:rFonts w:eastAsia="" w:eastAsiaTheme="minorEastAsia"/>
          <w:color w:val="000000"/>
          <w:sz w:val="24"/>
          <w:szCs w:val="24"/>
          <w:shd w:fill="FFFFFF" w:val="clear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Δ</m:t>
          </m:r>
          <m:sSub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r>
                <w:rPr>
                  <w:rFonts w:ascii="Cambria Math" w:hAnsi="Cambria Math"/>
                </w:rPr>
                <m:t xml:space="preserve">r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s</m:t>
          </m:r>
        </m:oMath>
      </m:oMathPara>
    </w:p>
    <w:p>
      <w:pPr>
        <w:pStyle w:val="Normal"/>
        <w:spacing w:lineRule="auto" w:line="240" w:before="0" w:after="0"/>
        <w:jc w:val="center"/>
        <w:rPr>
          <w:rFonts w:eastAsia="" w:eastAsiaTheme="minorEastAsia"/>
          <w:color w:val="000000"/>
          <w:sz w:val="24"/>
          <w:szCs w:val="24"/>
          <w:shd w:fill="FFFFFF" w:val="clear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r>
                <w:rPr>
                  <w:rFonts w:ascii="Cambria Math" w:hAnsi="Cambria Math"/>
                </w:rPr>
                <m:t xml:space="preserve">r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r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n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r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1,8598</m:t>
          </m:r>
          <m:r>
            <w:rPr>
              <w:rFonts w:ascii="Cambria Math" w:hAnsi="Cambria Math"/>
            </w:rPr>
            <m:t xml:space="preserve">s</m:t>
          </m:r>
        </m:oMath>
      </m:oMathPara>
    </w:p>
    <w:p>
      <w:pPr>
        <w:pStyle w:val="Normal"/>
        <w:spacing w:lineRule="auto" w:line="240" w:before="0" w:after="0"/>
        <w:jc w:val="center"/>
        <w:rPr>
          <w:rFonts w:eastAsia="" w:eastAsiaTheme="minorEastAsia"/>
          <w:color w:val="000000"/>
          <w:sz w:val="24"/>
          <w:szCs w:val="24"/>
          <w:shd w:fill="FFFFFF" w:val="clear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Δ</m:t>
          </m:r>
          <m:sSub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r>
                <w:rPr>
                  <w:rFonts w:ascii="Cambria Math" w:hAnsi="Cambria Math"/>
                </w:rPr>
                <m:t xml:space="preserve">r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Δ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r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10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01</m:t>
          </m:r>
          <m:r>
            <w:rPr>
              <w:rFonts w:ascii="Cambria Math" w:hAnsi="Cambria Math"/>
            </w:rPr>
            <m:t xml:space="preserve">s</m:t>
          </m:r>
        </m:oMath>
      </m:oMathPara>
    </w:p>
    <w:p>
      <w:pPr>
        <w:pStyle w:val="Normal"/>
        <w:spacing w:lineRule="auto" w:line="240" w:before="0" w:after="0"/>
        <w:jc w:val="both"/>
        <w:rPr>
          <w:rFonts w:eastAsia="" w:eastAsiaTheme="minorEastAsia"/>
          <w:sz w:val="24"/>
          <w:szCs w:val="24"/>
        </w:rPr>
      </w:pPr>
      <w:r>
        <w:rPr>
          <w:rFonts w:eastAsia="" w:eastAsiaTheme="minorEastAsia"/>
          <w:sz w:val="24"/>
          <w:szCs w:val="24"/>
        </w:rPr>
        <w:t>Obliczam długość zredukowaną wahadła:</w:t>
      </w:r>
    </w:p>
    <w:p>
      <w:pPr>
        <w:pStyle w:val="Normal"/>
        <w:spacing w:lineRule="auto" w:line="240" w:before="0" w:after="0"/>
        <w:jc w:val="center"/>
        <w:rPr>
          <w:rFonts w:eastAsia="" w:eastAsiaTheme="minorEastAsia"/>
          <w:sz w:val="24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A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10</m:t>
          </m:r>
          <m:r>
            <w:rPr>
              <w:rFonts w:ascii="Cambria Math" w:hAnsi="Cambria Math"/>
            </w:rPr>
            <m:t xml:space="preserve">cm</m:t>
          </m:r>
        </m:oMath>
      </m:oMathPara>
    </w:p>
    <w:p>
      <w:pPr>
        <w:pStyle w:val="Normal"/>
        <w:spacing w:lineRule="auto" w:line="240" w:before="0" w:after="0"/>
        <w:jc w:val="center"/>
        <w:rPr>
          <w:rFonts w:eastAsia="" w:eastAsiaTheme="minorEastAsia"/>
          <w:sz w:val="24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B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102</m:t>
          </m:r>
          <m:r>
            <w:rPr>
              <w:rFonts w:ascii="Cambria Math" w:hAnsi="Cambria Math"/>
            </w:rPr>
            <m:t xml:space="preserve">cm</m:t>
          </m:r>
        </m:oMath>
      </m:oMathPara>
    </w:p>
    <w:p>
      <w:pPr>
        <w:pStyle w:val="Normal"/>
        <w:spacing w:lineRule="auto" w:line="240" w:before="0" w:after="0"/>
        <w:jc w:val="center"/>
        <w:rPr>
          <w:rFonts w:eastAsia="" w:eastAsiaTheme="minorEastAsia"/>
          <w:sz w:val="24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l</m:t>
              </m:r>
            </m:e>
            <m:sub>
              <m:r>
                <w:rPr>
                  <w:rFonts w:ascii="Cambria Math" w:hAnsi="Cambria Math"/>
                </w:rPr>
                <m:t xml:space="preserve">r</m:t>
              </m:r>
            </m:sub>
          </m:sSub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B</m:t>
              </m:r>
            </m:sub>
          </m:sSub>
          <m:r>
            <w:rPr>
              <w:rFonts w:ascii="Cambria Math" w:hAnsi="Cambria Math"/>
            </w:rPr>
            <m:t xml:space="preserve">−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A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92</m:t>
          </m:r>
          <m:r>
            <w:rPr>
              <w:rFonts w:ascii="Cambria Math" w:hAnsi="Cambria Math"/>
            </w:rPr>
            <m:t xml:space="preserve">cm</m:t>
          </m:r>
        </m:oMath>
      </m:oMathPara>
    </w:p>
    <w:p>
      <w:pPr>
        <w:pStyle w:val="Normal"/>
        <w:spacing w:lineRule="auto" w:line="240" w:before="0" w:after="0"/>
        <w:jc w:val="both"/>
        <w:rPr>
          <w:rFonts w:eastAsia="" w:eastAsiaTheme="minorEastAsia"/>
          <w:sz w:val="24"/>
          <w:szCs w:val="24"/>
        </w:rPr>
      </w:pPr>
      <w:r>
        <w:rPr>
          <w:rFonts w:eastAsia="" w:eastAsiaTheme="minorEastAsia"/>
          <w:sz w:val="24"/>
          <w:szCs w:val="24"/>
        </w:rPr>
        <w:t xml:space="preserve">Znając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r</m:t>
            </m:r>
          </m:sub>
        </m:sSub>
      </m:oMath>
      <w:r>
        <w:rPr>
          <w:rFonts w:eastAsia="" w:eastAsiaTheme="minorEastAsia"/>
          <w:color w:val="000000"/>
          <w:sz w:val="24"/>
          <w:szCs w:val="24"/>
          <w:shd w:fill="FFFFFF" w:val="clear"/>
        </w:rPr>
        <w:t xml:space="preserve"> i 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l</m:t>
            </m:r>
          </m:e>
          <m:sub>
            <m:r>
              <w:rPr>
                <w:rFonts w:ascii="Cambria Math" w:hAnsi="Cambria Math"/>
              </w:rPr>
              <m:t xml:space="preserve">r</m:t>
            </m:r>
          </m:sub>
        </m:sSub>
      </m:oMath>
      <w:r>
        <w:rPr>
          <w:rFonts w:eastAsia="" w:eastAsiaTheme="minorEastAsia"/>
          <w:sz w:val="24"/>
          <w:szCs w:val="24"/>
        </w:rPr>
        <w:t xml:space="preserve"> możemy obliczyć przyspieszenie ziemskie i jego niepewność w ten sam sposób jak w przypadku wahadła matematycznego:</w:t>
      </w:r>
    </w:p>
    <w:p>
      <w:pPr>
        <w:pStyle w:val="Normal"/>
        <w:spacing w:lineRule="auto" w:line="240" w:before="0" w:after="0"/>
        <w:jc w:val="center"/>
        <w:rPr>
          <w:rFonts w:eastAsia="" w:eastAsiaTheme="minorEastAsia"/>
          <w:sz w:val="24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g</m:t>
              </m:r>
            </m:e>
            <m:sub>
              <m:r>
                <w:rPr>
                  <w:rFonts w:ascii="Cambria Math" w:hAnsi="Cambria Math"/>
                </w:rPr>
                <m:t xml:space="preserve">r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4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π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sSub>
                <m:e>
                  <m:r>
                    <w:rPr>
                      <w:rFonts w:ascii="Cambria Math" w:hAnsi="Cambria Math"/>
                    </w:rPr>
                    <m:t xml:space="preserve">l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r</m:t>
                  </m:r>
                </m:sub>
              </m:sSub>
            </m:num>
            <m:den>
              <m:sSubSup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r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bSup>
            </m:den>
          </m:f>
        </m:oMath>
      </m:oMathPara>
    </w:p>
    <w:p>
      <w:pPr>
        <w:pStyle w:val="Normal"/>
        <w:spacing w:lineRule="auto" w:line="240" w:before="240" w:after="0"/>
        <w:jc w:val="center"/>
        <w:rPr>
          <w:rFonts w:eastAsia="" w:eastAsiaTheme="minorEastAsia"/>
          <w:sz w:val="24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g</m:t>
              </m:r>
            </m:e>
            <m:sub>
              <m:r>
                <w:rPr>
                  <w:rFonts w:ascii="Cambria Math" w:hAnsi="Cambria Math"/>
                </w:rPr>
                <m:t xml:space="preserve">r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10,5012</m:t>
          </m:r>
        </m:oMath>
      </m:oMathPara>
    </w:p>
    <w:p>
      <w:pPr>
        <w:pStyle w:val="Normal"/>
        <w:spacing w:lineRule="auto" w:line="240" w:before="240" w:after="160"/>
        <w:jc w:val="center"/>
        <w:rPr>
          <w:rFonts w:eastAsia="" w:eastAsiaTheme="minorEastAsia"/>
          <w:sz w:val="24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Δ</m:t>
          </m:r>
          <m:sSub>
            <m:e>
              <m:r>
                <w:rPr>
                  <w:rFonts w:ascii="Cambria Math" w:hAnsi="Cambria Math"/>
                </w:rPr>
                <m:t xml:space="preserve">g</m:t>
              </m:r>
            </m:e>
            <m:sub>
              <m:r>
                <w:rPr>
                  <w:rFonts w:ascii="Cambria Math" w:hAnsi="Cambria Math"/>
                </w:rPr>
                <m:t xml:space="preserve">r</m:t>
              </m:r>
            </m:sub>
          </m:sSub>
          <m:r>
            <w:rPr>
              <w:rFonts w:ascii="Cambria Math" w:hAnsi="Cambria Math"/>
            </w:rPr>
            <m:t xml:space="preserve">=</m:t>
          </m:r>
          <m:d>
            <m:dPr>
              <m:begChr m:val="("/>
              <m:endChr m:val=")"/>
            </m:dPr>
            <m:e>
              <m:d>
                <m:dPr>
                  <m:begChr m:val="|"/>
                  <m:endChr m:val="|"/>
                </m:dPr>
                <m:e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Δ</m:t>
                      </m:r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r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r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</w:rPr>
                <m:t xml:space="preserve">+</m:t>
              </m:r>
              <m:d>
                <m:dPr>
                  <m:begChr m:val="|"/>
                  <m:endChr m:val="|"/>
                </m:dPr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Δ</m:t>
                      </m:r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r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r</m:t>
                          </m:r>
                        </m:sub>
                      </m:sSub>
                    </m:den>
                  </m:f>
                </m:e>
              </m:d>
            </m:e>
          </m:d>
          <m:sSub>
            <m:e>
              <m:r>
                <w:rPr>
                  <w:rFonts w:ascii="Cambria Math" w:hAnsi="Cambria Math"/>
                </w:rPr>
                <m:t xml:space="preserve">g</m:t>
              </m:r>
            </m:e>
            <m:sub>
              <m:r>
                <w:rPr>
                  <w:rFonts w:ascii="Cambria Math" w:hAnsi="Cambria Math"/>
                </w:rPr>
                <m:t xml:space="preserve">r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0,114</m:t>
          </m:r>
        </m:oMath>
      </m:oMathPara>
    </w:p>
    <w:p>
      <w:pPr>
        <w:pStyle w:val="Normal"/>
        <w:spacing w:lineRule="auto" w:line="240" w:before="0" w:after="0"/>
        <w:jc w:val="both"/>
        <w:rPr>
          <w:rFonts w:eastAsia="" w:eastAsiaTheme="minorEastAsia"/>
          <w:sz w:val="24"/>
        </w:rPr>
      </w:pPr>
      <w:r>
        <w:rPr>
          <w:rFonts w:eastAsia="" w:eastAsiaTheme="minorEastAsia"/>
          <w:sz w:val="24"/>
        </w:rPr>
        <w:t>Zaokrąglenie:</w:t>
      </w:r>
    </w:p>
    <w:p>
      <w:pPr>
        <w:pStyle w:val="Normal"/>
        <w:spacing w:lineRule="auto" w:line="360" w:before="0" w:after="0"/>
        <w:contextualSpacing/>
        <w:jc w:val="left"/>
        <w:rPr>
          <w:rFonts w:eastAsia="" w:cs="Arial" w:eastAsiaTheme="minorEastAsia"/>
          <w:sz w:val="24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Δ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g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r</m:t>
                  </m:r>
                </m:sub>
              </m:sSub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11</m:t>
          </m:r>
          <m:sSub>
            <m:e>
              <m:r>
                <w:rPr>
                  <w:rFonts w:ascii="Cambria Math" w:hAnsi="Cambria Math"/>
                </w:rPr>
                <m:t xml:space="preserve">Δ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g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r</m:t>
                  </m:r>
                </m:sub>
              </m:sSub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2</m:t>
          </m:r>
        </m:oMath>
      </m:oMathPara>
    </w:p>
    <w:p>
      <w:pPr>
        <w:pStyle w:val="Normal"/>
        <w:spacing w:lineRule="auto" w:line="360" w:before="0" w:after="0"/>
        <w:contextualSpacing/>
        <w:jc w:val="left"/>
        <w:rPr>
          <w:rFonts w:eastAsia="" w:cs="Arial" w:eastAsiaTheme="minorEastAsia"/>
          <w:sz w:val="24"/>
        </w:rPr>
      </w:pPr>
      <w:r>
        <w:rPr/>
      </w:r>
      <m:oMathPara xmlns:m="http://schemas.openxmlformats.org/officeDocument/2006/math"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Δ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r</m:t>
                      </m:r>
                    </m:sub>
                  </m:sSub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Δ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r</m:t>
                      </m:r>
                    </m:sub>
                  </m:sSub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Δ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r</m:t>
                      </m:r>
                    </m:sub>
                  </m:sSub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0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0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11</m:t>
              </m:r>
            </m:num>
            <m:den>
              <m:r>
                <w:rPr>
                  <w:rFonts w:ascii="Cambria Math" w:hAnsi="Cambria Math"/>
                </w:rPr>
                <m:t xml:space="preserve">0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11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81</m:t>
          </m:r>
          <m:r>
            <w:rPr>
              <w:rFonts w:ascii="Cambria Math" w:hAnsi="Cambria Math"/>
            </w:rPr>
            <m:t xml:space="preserve">,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81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%</m:t>
          </m:r>
        </m:oMath>
      </m:oMathPara>
    </w:p>
    <w:p>
      <w:pPr>
        <w:pStyle w:val="Normal"/>
        <w:spacing w:lineRule="auto" w:line="360" w:before="0" w:after="0"/>
        <w:contextualSpacing/>
        <w:rPr>
          <w:rFonts w:eastAsia="" w:cs="Arial" w:eastAsiaTheme="minorEastAsia"/>
          <w:sz w:val="24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81</m:t>
        </m:r>
        <m:r>
          <w:rPr>
            <w:rFonts w:ascii="Cambria Math" w:hAnsi="Cambria Math"/>
          </w:rPr>
          <m:t xml:space="preserve">,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81</m:t>
            </m:r>
          </m:e>
        </m:d>
        <m:r>
          <m:rPr>
            <m:lit/>
            <m:nor/>
          </m:rPr>
          <w:rPr>
            <w:rFonts w:ascii="Cambria Math" w:hAnsi="Cambria Math"/>
          </w:rPr>
          <m:t xml:space="preserve">%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10</m:t>
        </m:r>
        <m:r>
          <m:rPr>
            <m:lit/>
            <m:nor/>
          </m:rPr>
          <w:rPr>
            <w:rFonts w:ascii="Cambria Math" w:hAnsi="Cambria Math"/>
          </w:rPr>
          <m:t xml:space="preserve">%</m:t>
        </m:r>
      </m:oMath>
      <w:r>
        <w:rPr>
          <w:rFonts w:eastAsia="" w:cs="Arial" w:eastAsiaTheme="minorEastAsia"/>
          <w:sz w:val="24"/>
        </w:rPr>
        <w:t xml:space="preserve"> </w:t>
      </w:r>
      <w:r>
        <w:rPr>
          <w:rFonts w:eastAsia="" w:cs="Arial" w:eastAsiaTheme="minorEastAsia"/>
          <w:sz w:val="24"/>
        </w:rPr>
        <w:t xml:space="preserve">więc zostawiamy błąd z dokładnością do 2 cyfr znaczących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Δ</m:t>
            </m:r>
            <m:sSub>
              <m:e>
                <m:r>
                  <w:rPr>
                    <w:rFonts w:ascii="Cambria Math" w:hAnsi="Cambria Math"/>
                  </w:rPr>
                  <m:t xml:space="preserve">g</m:t>
                </m:r>
              </m:e>
              <m:sub>
                <m:r>
                  <w:rPr>
                    <w:rFonts w:ascii="Cambria Math" w:hAnsi="Cambria Math"/>
                  </w:rPr>
                  <m:t xml:space="preserve">r</m:t>
                </m:r>
              </m:sub>
            </m:sSub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</m:oMath>
    </w:p>
    <w:p>
      <w:pPr>
        <w:pStyle w:val="Normal"/>
        <w:spacing w:lineRule="auto" w:line="360" w:before="0" w:after="0"/>
        <w:contextualSpacing/>
        <w:rPr>
          <w:rFonts w:eastAsia="" w:cs="Arial" w:eastAsiaTheme="minorEastAsia"/>
          <w:sz w:val="24"/>
        </w:rPr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Δ</m:t>
            </m:r>
            <m:sSub>
              <m:e>
                <m:r>
                  <w:rPr>
                    <w:rFonts w:ascii="Cambria Math" w:hAnsi="Cambria Math"/>
                  </w:rPr>
                  <m:t xml:space="preserve">g</m:t>
                </m:r>
              </m:e>
              <m:sub>
                <m:r>
                  <w:rPr>
                    <w:rFonts w:ascii="Cambria Math" w:hAnsi="Cambria Math"/>
                  </w:rPr>
                  <m:t xml:space="preserve">r</m:t>
                </m:r>
              </m:sub>
            </m:sSub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11</m:t>
        </m:r>
      </m:oMath>
      <w:r>
        <w:rPr>
          <w:rFonts w:eastAsia="" w:cs="Arial" w:eastAsiaTheme="minorEastAsia"/>
          <w:sz w:val="24"/>
        </w:rPr>
        <w:t xml:space="preserve">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m</m:t>
            </m:r>
          </m:num>
          <m:den>
            <m:sSup>
              <m:e>
                <m:r>
                  <w:rPr>
                    <w:rFonts w:ascii="Cambria Math" w:hAnsi="Cambria Math"/>
                  </w:rPr>
                  <m:t xml:space="preserve">s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den>
        </m:f>
      </m:oMath>
    </w:p>
    <w:p>
      <w:pPr>
        <w:pStyle w:val="Normal"/>
        <w:spacing w:lineRule="auto" w:line="360" w:before="0" w:after="0"/>
        <w:contextualSpacing/>
        <w:rPr>
          <w:rFonts w:eastAsia="" w:cs="Arial" w:eastAsiaTheme="minorEastAsia"/>
          <w:sz w:val="24"/>
        </w:rPr>
      </w:pPr>
      <w:r>
        <w:rPr>
          <w:rFonts w:eastAsia="" w:cs="Arial" w:eastAsiaTheme="minorEastAsia"/>
          <w:sz w:val="24"/>
        </w:rPr>
        <w:t>Ostateczny wynik:</w:t>
      </w:r>
    </w:p>
    <w:p>
      <w:pPr>
        <w:pStyle w:val="Normal"/>
        <w:spacing w:lineRule="auto" w:line="360" w:before="0" w:after="0"/>
        <w:contextualSpacing/>
        <w:rPr>
          <w:rFonts w:eastAsia="" w:cs="Arial" w:eastAsiaTheme="minorEastAsia"/>
          <w:sz w:val="24"/>
        </w:rPr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g</m:t>
            </m:r>
          </m:e>
          <m:sub>
            <m:r>
              <w:rPr>
                <w:rFonts w:ascii="Cambria Math" w:hAnsi="Cambria Math"/>
              </w:rPr>
              <m:t xml:space="preserve">r</m:t>
            </m:r>
          </m:sub>
        </m:sSub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10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50</m:t>
            </m:r>
            <m:r>
              <w:rPr>
                <w:rFonts w:ascii="Cambria Math" w:hAnsi="Cambria Math"/>
              </w:rPr>
              <m:t xml:space="preserve">±</m:t>
            </m:r>
            <m:r>
              <w:rPr>
                <w:rFonts w:ascii="Cambria Math" w:hAnsi="Cambria Math"/>
              </w:rPr>
              <m:t xml:space="preserve">0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11</m:t>
            </m:r>
          </m:e>
        </m:d>
      </m:oMath>
      <w:r>
        <w:rPr>
          <w:rFonts w:eastAsia="" w:cs="Arial" w:eastAsiaTheme="minorEastAsia"/>
          <w:sz w:val="24"/>
        </w:rPr>
        <w:t xml:space="preserve">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m</m:t>
            </m:r>
          </m:num>
          <m:den>
            <m:sSup>
              <m:e>
                <m:r>
                  <w:rPr>
                    <w:rFonts w:ascii="Cambria Math" w:hAnsi="Cambria Math"/>
                  </w:rPr>
                  <m:t xml:space="preserve">s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den>
        </m:f>
      </m:oMath>
    </w:p>
    <w:p>
      <w:pPr>
        <w:pStyle w:val="Normal"/>
        <w:spacing w:lineRule="auto" w:line="240" w:before="0" w:after="0"/>
        <w:jc w:val="both"/>
        <w:rPr>
          <w:rFonts w:eastAsia="" w:eastAsiaTheme="minorEastAsia"/>
          <w:sz w:val="24"/>
          <w:szCs w:val="24"/>
        </w:rPr>
      </w:pPr>
      <w:r>
        <w:rPr>
          <w:rFonts w:eastAsia="" w:eastAsiaTheme="minorEastAsia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eastAsia="" w:eastAsiaTheme="minorEastAsia"/>
          <w:sz w:val="24"/>
          <w:szCs w:val="24"/>
        </w:rPr>
      </w:pPr>
      <w:r>
        <w:rPr>
          <w:rFonts w:eastAsia="" w:eastAsiaTheme="minorEastAsia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eastAsia="" w:eastAsiaTheme="minorEastAsia"/>
          <w:sz w:val="28"/>
          <w:szCs w:val="24"/>
        </w:rPr>
      </w:pPr>
      <w:r>
        <w:rPr>
          <w:rFonts w:eastAsia="" w:eastAsiaTheme="minorEastAsia"/>
          <w:sz w:val="28"/>
          <w:szCs w:val="24"/>
        </w:rPr>
        <w:t>Zestawienie wyników wahadeł matematycznego (średnia) i rewersyjnego:</w:t>
      </w:r>
    </w:p>
    <w:p>
      <w:pPr>
        <w:pStyle w:val="Normal"/>
        <w:spacing w:lineRule="auto" w:line="240" w:before="0" w:after="0"/>
        <w:jc w:val="both"/>
        <w:rPr>
          <w:rFonts w:eastAsia="" w:eastAsiaTheme="minorEastAsia"/>
          <w:sz w:val="24"/>
          <w:szCs w:val="24"/>
        </w:rPr>
      </w:pPr>
      <w:r>
        <w:rPr>
          <w:rFonts w:eastAsia="" w:eastAsiaTheme="minorEastAsia"/>
          <w:sz w:val="24"/>
          <w:szCs w:val="24"/>
        </w:rPr>
      </w:r>
    </w:p>
    <w:p>
      <w:pPr>
        <w:pStyle w:val="Normal"/>
        <w:spacing w:lineRule="auto" w:line="360" w:before="0" w:after="0"/>
        <w:contextualSpacing/>
        <w:rPr>
          <w:rFonts w:eastAsia="" w:eastAsiaTheme="minorEastAsia"/>
          <w:sz w:val="24"/>
        </w:rPr>
      </w:pPr>
      <w:r>
        <w:rPr/>
      </w:r>
      <m:oMath xmlns:m="http://schemas.openxmlformats.org/officeDocument/2006/math">
        <m:bar>
          <m:barPr>
            <m:pos m:val="top"/>
          </m:barPr>
          <m:e>
            <m:sSub>
              <m:e>
                <m:r>
                  <w:rPr>
                    <w:rFonts w:ascii="Cambria Math" w:hAnsi="Cambria Math"/>
                  </w:rPr>
                  <m:t xml:space="preserve">g</m:t>
                </m:r>
              </m:e>
              <m:sub>
                <m:r>
                  <w:rPr>
                    <w:rFonts w:ascii="Cambria Math" w:hAnsi="Cambria Math"/>
                  </w:rPr>
                  <m:t xml:space="preserve">m</m:t>
                </m:r>
              </m:sub>
            </m:sSub>
          </m:e>
        </m:bar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9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6</m:t>
            </m:r>
            <m:r>
              <w:rPr>
                <w:rFonts w:ascii="Cambria Math" w:hAnsi="Cambria Math"/>
              </w:rPr>
              <m:t xml:space="preserve">±</m:t>
            </m:r>
            <m:r>
              <w:rPr>
                <w:rFonts w:ascii="Cambria Math" w:hAnsi="Cambria Math"/>
              </w:rPr>
              <m:t xml:space="preserve">0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5</m:t>
            </m:r>
          </m:e>
        </m:d>
      </m:oMath>
      <w:r>
        <w:rPr>
          <w:rFonts w:eastAsia="" w:eastAsiaTheme="minorEastAsia"/>
          <w:sz w:val="24"/>
        </w:rPr>
        <w:t xml:space="preserve">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m</m:t>
            </m:r>
          </m:num>
          <m:den>
            <m:sSup>
              <m:e>
                <m:r>
                  <w:rPr>
                    <w:rFonts w:ascii="Cambria Math" w:hAnsi="Cambria Math"/>
                  </w:rPr>
                  <m:t xml:space="preserve">s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den>
        </m:f>
      </m:oMath>
    </w:p>
    <w:p>
      <w:pPr>
        <w:pStyle w:val="Normal"/>
        <w:spacing w:lineRule="auto" w:line="360" w:before="0" w:after="0"/>
        <w:contextualSpacing/>
        <w:rPr>
          <w:rFonts w:eastAsia="" w:cs="Arial" w:eastAsiaTheme="minorEastAsia"/>
          <w:sz w:val="24"/>
        </w:rPr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g</m:t>
            </m:r>
          </m:e>
          <m:sub>
            <m:r>
              <w:rPr>
                <w:rFonts w:ascii="Cambria Math" w:hAnsi="Cambria Math"/>
              </w:rPr>
              <m:t xml:space="preserve">r</m:t>
            </m:r>
          </m:sub>
        </m:sSub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10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50</m:t>
            </m:r>
            <m:r>
              <w:rPr>
                <w:rFonts w:ascii="Cambria Math" w:hAnsi="Cambria Math"/>
              </w:rPr>
              <m:t xml:space="preserve">±</m:t>
            </m:r>
            <m:r>
              <w:rPr>
                <w:rFonts w:ascii="Cambria Math" w:hAnsi="Cambria Math"/>
              </w:rPr>
              <m:t xml:space="preserve">0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11</m:t>
            </m:r>
          </m:e>
        </m:d>
      </m:oMath>
      <w:r>
        <w:rPr>
          <w:rFonts w:eastAsia="" w:cs="Arial" w:eastAsiaTheme="minorEastAsia"/>
          <w:sz w:val="24"/>
        </w:rPr>
        <w:t xml:space="preserve">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m</m:t>
            </m:r>
          </m:num>
          <m:den>
            <m:sSup>
              <m:e>
                <m:r>
                  <w:rPr>
                    <w:rFonts w:ascii="Cambria Math" w:hAnsi="Cambria Math"/>
                  </w:rPr>
                  <m:t xml:space="preserve">s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den>
        </m:f>
      </m:oMath>
    </w:p>
    <w:p>
      <w:pPr>
        <w:pStyle w:val="Normal"/>
        <w:spacing w:lineRule="auto" w:line="240"/>
        <w:jc w:val="both"/>
        <w:rPr>
          <w:rFonts w:eastAsia="" w:eastAsiaTheme="minorEastAsia"/>
          <w:sz w:val="24"/>
          <w:szCs w:val="24"/>
        </w:rPr>
      </w:pPr>
      <w:r>
        <w:rPr>
          <w:rFonts w:eastAsia="" w:eastAsiaTheme="minorEastAsia"/>
          <w:sz w:val="24"/>
          <w:szCs w:val="24"/>
        </w:rPr>
        <w:t xml:space="preserve">Wartość rzeczywista przyspieszenia ziemskiego (na szer. Geograficznej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45</m:t>
        </m:r>
      </m:oMath>
      <w:r>
        <w:rPr>
          <w:rFonts w:eastAsia="" w:eastAsiaTheme="minorEastAsia"/>
          <w:sz w:val="24"/>
          <w:szCs w:val="24"/>
          <w:vertAlign w:val="superscript"/>
        </w:rPr>
        <w:t>o</w:t>
      </w:r>
      <w:r>
        <w:rPr>
          <w:rFonts w:eastAsia="" w:eastAsiaTheme="minorEastAsia"/>
          <w:sz w:val="24"/>
          <w:szCs w:val="24"/>
        </w:rPr>
        <w:t>):</w:t>
      </w:r>
    </w:p>
    <w:p>
      <w:pPr>
        <w:pStyle w:val="Normal"/>
        <w:spacing w:lineRule="auto" w:line="240"/>
        <w:jc w:val="both"/>
        <w:rPr>
          <w:rFonts w:eastAsia="" w:eastAsiaTheme="minorEastAsia"/>
          <w:sz w:val="24"/>
          <w:szCs w:val="24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g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9,8067</m:t>
        </m:r>
      </m:oMath>
      <w:r>
        <w:rPr>
          <w:rFonts w:eastAsia="" w:eastAsiaTheme="minorEastAsia"/>
          <w:sz w:val="24"/>
          <w:szCs w:val="24"/>
        </w:rPr>
        <w:t xml:space="preserve">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m</m:t>
            </m:r>
          </m:num>
          <m:den>
            <m:sSup>
              <m:e>
                <m:r>
                  <w:rPr>
                    <w:rFonts w:ascii="Cambria Math" w:hAnsi="Cambria Math"/>
                  </w:rPr>
                  <m:t xml:space="preserve">s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den>
        </m:f>
      </m:oMath>
    </w:p>
    <w:p>
      <w:pPr>
        <w:pStyle w:val="Normal"/>
        <w:spacing w:lineRule="auto" w:line="240" w:before="0" w:after="0"/>
        <w:jc w:val="both"/>
        <w:rPr>
          <w:rFonts w:eastAsia="" w:eastAsiaTheme="minorEastAsia"/>
          <w:sz w:val="28"/>
        </w:rPr>
      </w:pPr>
      <w:r>
        <w:rPr>
          <w:rFonts w:eastAsia="" w:eastAsiaTheme="minorEastAsia"/>
          <w:sz w:val="28"/>
        </w:rPr>
      </w:r>
    </w:p>
    <w:p>
      <w:pPr>
        <w:pStyle w:val="Normal"/>
        <w:spacing w:lineRule="auto" w:line="240" w:before="0" w:after="0"/>
        <w:jc w:val="both"/>
        <w:rPr>
          <w:rFonts w:eastAsia="" w:eastAsiaTheme="minorEastAsia"/>
          <w:sz w:val="28"/>
        </w:rPr>
      </w:pPr>
      <w:r>
        <w:rPr>
          <w:rFonts w:eastAsia="" w:eastAsiaTheme="minorEastAsia"/>
          <w:sz w:val="28"/>
        </w:rPr>
      </w:r>
    </w:p>
    <w:p>
      <w:pPr>
        <w:pStyle w:val="Normal"/>
        <w:spacing w:lineRule="auto" w:line="240" w:before="0" w:after="0"/>
        <w:jc w:val="both"/>
        <w:rPr>
          <w:rFonts w:eastAsia="" w:eastAsiaTheme="minorEastAsia"/>
          <w:b/>
          <w:sz w:val="28"/>
        </w:rPr>
      </w:pPr>
      <w:r>
        <w:rPr>
          <w:rFonts w:eastAsia="" w:eastAsiaTheme="minorEastAsia"/>
          <w:b/>
          <w:sz w:val="28"/>
        </w:rPr>
      </w:r>
    </w:p>
    <w:p>
      <w:pPr>
        <w:pStyle w:val="Normal"/>
        <w:spacing w:lineRule="auto" w:line="240" w:before="0" w:after="0"/>
        <w:jc w:val="both"/>
        <w:rPr>
          <w:rFonts w:eastAsia="" w:eastAsiaTheme="minorEastAsia"/>
          <w:b/>
          <w:sz w:val="28"/>
        </w:rPr>
      </w:pPr>
      <w:r>
        <w:rPr>
          <w:rFonts w:eastAsia="" w:eastAsiaTheme="minorEastAsia"/>
          <w:b/>
          <w:sz w:val="28"/>
        </w:rPr>
      </w:r>
    </w:p>
    <w:p>
      <w:pPr>
        <w:pStyle w:val="Normal"/>
        <w:spacing w:lineRule="auto" w:line="240" w:before="0" w:after="0"/>
        <w:jc w:val="both"/>
        <w:rPr>
          <w:rFonts w:eastAsia="" w:eastAsiaTheme="minorEastAsia"/>
          <w:b/>
          <w:sz w:val="28"/>
        </w:rPr>
      </w:pPr>
      <w:r>
        <w:rPr>
          <w:rFonts w:eastAsia="" w:eastAsiaTheme="minorEastAsia"/>
          <w:b/>
          <w:sz w:val="28"/>
        </w:rPr>
      </w:r>
    </w:p>
    <w:p>
      <w:pPr>
        <w:pStyle w:val="Normal"/>
        <w:spacing w:lineRule="auto" w:line="240" w:before="0" w:after="0"/>
        <w:jc w:val="both"/>
        <w:rPr>
          <w:rFonts w:eastAsia="" w:eastAsiaTheme="minorEastAsia"/>
          <w:b/>
          <w:sz w:val="28"/>
        </w:rPr>
      </w:pPr>
      <w:r>
        <w:rPr>
          <w:rFonts w:eastAsia="" w:eastAsiaTheme="minorEastAsia"/>
          <w:b/>
          <w:sz w:val="28"/>
        </w:rPr>
        <w:t>3. Wnioski</w:t>
      </w:r>
    </w:p>
    <w:p>
      <w:pPr>
        <w:pStyle w:val="Normal"/>
        <w:spacing w:lineRule="auto" w:line="240" w:before="0" w:after="0"/>
        <w:jc w:val="both"/>
        <w:rPr>
          <w:rFonts w:eastAsia="" w:eastAsiaTheme="minorEastAsia"/>
          <w:b/>
          <w:sz w:val="28"/>
        </w:rPr>
      </w:pPr>
      <w:r>
        <w:rPr>
          <w:rFonts w:eastAsia="" w:eastAsiaTheme="minorEastAsia"/>
          <w:b/>
          <w:sz w:val="28"/>
        </w:rPr>
      </w:r>
    </w:p>
    <w:p>
      <w:pPr>
        <w:pStyle w:val="Normal"/>
        <w:rPr>
          <w:rFonts w:eastAsia="Times New Roman" w:cs="Calibri" w:cstheme="minorHAnsi"/>
          <w:sz w:val="28"/>
          <w:szCs w:val="24"/>
          <w:lang w:eastAsia="pl-PL"/>
        </w:rPr>
      </w:pPr>
      <w:r>
        <w:rPr>
          <w:rFonts w:eastAsia="" w:eastAsiaTheme="minorEastAsia"/>
          <w:sz w:val="28"/>
        </w:rPr>
        <w:t xml:space="preserve">Ćwiczenie pokazało, że nawet prymitywnym wahadłem fizycznym jesteśmy w stanie wyznaczyć z dosyć dobra dokładnością przyspieszenie ziemskie na danej szerokości geograficznej. Różnice w porównaniu z rzeczywistą wartością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g</m:t>
        </m:r>
      </m:oMath>
      <w:r>
        <w:rPr>
          <w:rFonts w:eastAsia="" w:eastAsiaTheme="minorEastAsia"/>
          <w:sz w:val="28"/>
        </w:rPr>
        <w:t xml:space="preserve"> wynikają z błędów przy pomiarach związanych z odczytem</w:t>
      </w:r>
      <w:r>
        <w:rPr>
          <w:rFonts w:eastAsia="Times New Roman" w:cs="Arial" w:ascii="Arial" w:hAnsi="Arial"/>
          <w:sz w:val="24"/>
          <w:szCs w:val="24"/>
          <w:lang w:eastAsia="pl-PL"/>
        </w:rPr>
        <w:t xml:space="preserve"> </w:t>
      </w:r>
      <w:r>
        <w:rPr>
          <w:rFonts w:eastAsia="Times New Roman" w:cs="Calibri" w:cstheme="minorHAnsi"/>
          <w:sz w:val="28"/>
          <w:szCs w:val="24"/>
          <w:lang w:eastAsia="pl-PL"/>
        </w:rPr>
        <w:t>położenia krążka, jak również różnice w kącie wychylenia podczas puszczania w</w:t>
      </w:r>
      <w:bookmarkStart w:id="0" w:name="_GoBack"/>
      <w:bookmarkEnd w:id="0"/>
      <w:r>
        <w:rPr>
          <w:rFonts w:eastAsia="Times New Roman" w:cs="Calibri" w:cstheme="minorHAnsi"/>
          <w:sz w:val="28"/>
          <w:szCs w:val="24"/>
          <w:lang w:eastAsia="pl-PL"/>
        </w:rPr>
        <w:t>ahadła.</w:t>
      </w:r>
    </w:p>
    <w:p>
      <w:pPr>
        <w:pStyle w:val="Normal"/>
        <w:spacing w:lineRule="auto" w:line="240" w:before="0" w:after="0"/>
        <w:jc w:val="both"/>
        <w:rPr>
          <w:rFonts w:eastAsia="" w:cs="Calibri" w:cstheme="minorHAnsi" w:eastAsiaTheme="minorEastAsia"/>
          <w:sz w:val="32"/>
        </w:rPr>
      </w:pPr>
      <w:r>
        <w:rPr>
          <w:rFonts w:eastAsia="Times New Roman" w:cs="Calibri" w:cstheme="minorHAnsi"/>
          <w:sz w:val="28"/>
          <w:szCs w:val="24"/>
          <w:lang w:eastAsia="pl-PL"/>
        </w:rPr>
        <w:t xml:space="preserve">Nieznacznie wpływ na różnicę miało położenie geograficzne.    </w:t>
      </w:r>
    </w:p>
    <w:p>
      <w:pPr>
        <w:pStyle w:val="Normal"/>
        <w:spacing w:before="0" w:after="160"/>
        <w:rPr>
          <w:rFonts w:ascii="Arial" w:hAnsi="Arial" w:cs="Arial"/>
          <w:sz w:val="21"/>
          <w:szCs w:val="21"/>
          <w:shd w:fill="FFFFFF" w:val="clear"/>
        </w:rPr>
      </w:pPr>
      <w:r>
        <w:rPr>
          <w:rFonts w:cs="Arial" w:ascii="Arial" w:hAnsi="Arial"/>
          <w:sz w:val="21"/>
          <w:szCs w:val="21"/>
          <w:shd w:fill="FFFFFF" w:val="clear"/>
        </w:rPr>
      </w:r>
    </w:p>
    <w:sectPr>
      <w:type w:val="nextPage"/>
      <w:pgSz w:w="11906" w:h="16838"/>
      <w:pgMar w:left="1417" w:right="1417" w:gutter="0" w:header="0" w:top="1135" w:footer="0" w:bottom="993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 Black">
    <w:charset w:val="00"/>
    <w:family w:val="roman"/>
    <w:pitch w:val="variable"/>
  </w:font>
  <w:font w:name="Arial">
    <w:charset w:val="00"/>
    <w:family w:val="roman"/>
    <w:pitch w:val="variable"/>
  </w:font>
  <w:font w:name="Cambria Math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l-P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a5ad1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l-PL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9171bd"/>
    <w:rPr>
      <w:sz w:val="16"/>
      <w:szCs w:val="16"/>
    </w:rPr>
  </w:style>
  <w:style w:type="character" w:styleId="TekstkomentarzaZnak" w:customStyle="1">
    <w:name w:val="Tekst komentarza Znak"/>
    <w:basedOn w:val="DefaultParagraphFont"/>
    <w:link w:val="AnnotationText"/>
    <w:uiPriority w:val="99"/>
    <w:semiHidden/>
    <w:qFormat/>
    <w:rsid w:val="009171bd"/>
    <w:rPr>
      <w:sz w:val="20"/>
      <w:szCs w:val="20"/>
    </w:rPr>
  </w:style>
  <w:style w:type="character" w:styleId="TematkomentarzaZnak" w:customStyle="1">
    <w:name w:val="Temat komentarza Znak"/>
    <w:basedOn w:val="TekstkomentarzaZnak"/>
    <w:link w:val="annotationsubject"/>
    <w:uiPriority w:val="99"/>
    <w:semiHidden/>
    <w:qFormat/>
    <w:rsid w:val="009171bd"/>
    <w:rPr>
      <w:b/>
      <w:bCs/>
      <w:sz w:val="20"/>
      <w:szCs w:val="20"/>
    </w:rPr>
  </w:style>
  <w:style w:type="character" w:styleId="TekstdymkaZnak" w:customStyle="1">
    <w:name w:val="Tekst dymka Znak"/>
    <w:basedOn w:val="DefaultParagraphFont"/>
    <w:link w:val="BalloonText"/>
    <w:uiPriority w:val="99"/>
    <w:semiHidden/>
    <w:qFormat/>
    <w:rsid w:val="009171bd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9171bd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f04e54"/>
    <w:rPr>
      <w:b/>
      <w:bCs/>
    </w:rPr>
  </w:style>
  <w:style w:type="character" w:styleId="PlaceholderText">
    <w:name w:val="Placeholder Text"/>
    <w:basedOn w:val="DefaultParagraphFont"/>
    <w:uiPriority w:val="99"/>
    <w:semiHidden/>
    <w:qFormat/>
    <w:rsid w:val="00794cda"/>
    <w:rPr>
      <w:color w:val="80808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AnnotationText">
    <w:name w:val="Annotation Text"/>
    <w:basedOn w:val="Normal"/>
    <w:link w:val="TekstkomentarzaZnak"/>
    <w:uiPriority w:val="99"/>
    <w:semiHidden/>
    <w:unhideWhenUsed/>
    <w:rsid w:val="009171bd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TematkomentarzaZnak"/>
    <w:uiPriority w:val="99"/>
    <w:semiHidden/>
    <w:unhideWhenUsed/>
    <w:qFormat/>
    <w:rsid w:val="009171bd"/>
    <w:pPr/>
    <w:rPr>
      <w:b/>
      <w:bCs/>
    </w:rPr>
  </w:style>
  <w:style w:type="paragraph" w:styleId="BalloonText">
    <w:name w:val="Balloon Text"/>
    <w:basedOn w:val="Normal"/>
    <w:link w:val="TekstdymkaZnak"/>
    <w:uiPriority w:val="99"/>
    <w:semiHidden/>
    <w:unhideWhenUsed/>
    <w:qFormat/>
    <w:rsid w:val="009171bd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rsid w:val="009171bd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l-PL"/>
    </w:rPr>
  </w:style>
  <w:style w:type="paragraph" w:styleId="ListParagraph">
    <w:name w:val="List Paragraph"/>
    <w:basedOn w:val="Normal"/>
    <w:uiPriority w:val="34"/>
    <w:qFormat/>
    <w:rsid w:val="00ec2901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Zwykatabela11">
    <w:name w:val="Zwykła tabela 11"/>
    <w:basedOn w:val="Standardowy"/>
    <w:uiPriority w:val="41"/>
    <w:rsid w:val="008a5ad1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elasiatki1jasna1">
    <w:name w:val="Tabela siatki 1 — jasna1"/>
    <w:basedOn w:val="Standardowy"/>
    <w:uiPriority w:val="46"/>
    <w:rsid w:val="008a5ad1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Tabela-Siatka">
    <w:name w:val="Table Grid"/>
    <w:basedOn w:val="Standardowy"/>
    <w:uiPriority w:val="39"/>
    <w:rsid w:val="008a5ad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image" Target="media/image2.png"/><Relationship Id="rId5" Type="http://schemas.openxmlformats.org/officeDocument/2006/relationships/oleObject" Target="embeddings/oleObject2.bin"/><Relationship Id="rId6" Type="http://schemas.openxmlformats.org/officeDocument/2006/relationships/image" Target="media/image3.wmf"/><Relationship Id="rId7" Type="http://schemas.openxmlformats.org/officeDocument/2006/relationships/oleObject" Target="embeddings/oleObject3.bin"/><Relationship Id="rId8" Type="http://schemas.openxmlformats.org/officeDocument/2006/relationships/image" Target="media/image4.wmf"/><Relationship Id="rId9" Type="http://schemas.openxmlformats.org/officeDocument/2006/relationships/oleObject" Target="embeddings/oleObject4.bin"/><Relationship Id="rId10" Type="http://schemas.openxmlformats.org/officeDocument/2006/relationships/image" Target="media/image5.wmf"/><Relationship Id="rId11" Type="http://schemas.openxmlformats.org/officeDocument/2006/relationships/oleObject" Target="embeddings/oleObject5.bin"/><Relationship Id="rId12" Type="http://schemas.openxmlformats.org/officeDocument/2006/relationships/image" Target="media/image6.wmf"/><Relationship Id="rId13" Type="http://schemas.openxmlformats.org/officeDocument/2006/relationships/oleObject" Target="embeddings/oleObject6.bin"/><Relationship Id="rId14" Type="http://schemas.openxmlformats.org/officeDocument/2006/relationships/image" Target="media/image7.wmf"/><Relationship Id="rId15" Type="http://schemas.openxmlformats.org/officeDocument/2006/relationships/oleObject" Target="embeddings/oleObject7.bin"/><Relationship Id="rId16" Type="http://schemas.openxmlformats.org/officeDocument/2006/relationships/image" Target="media/image8.wmf"/><Relationship Id="rId17" Type="http://schemas.openxmlformats.org/officeDocument/2006/relationships/image" Target="media/image9.png"/><Relationship Id="rId18" Type="http://schemas.openxmlformats.org/officeDocument/2006/relationships/chart" Target="charts/chart1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charts/_rels/chart1.xml.rels><?xml version="1.0" encoding="UTF-8"?>
<Relationships xmlns="http://schemas.openxmlformats.org/package/2006/relationships"><Relationship Id="rId1" Type="http://schemas.openxmlformats.org/officeDocument/2006/relationships/package" Target="../embeddings/Microsoft_Excel_Worksheet.xlsx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autoTitleDeleted val="1"/>
    <c:plotArea>
      <c:scatterChart>
        <c:scatterStyle val="lineMarker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tA=f(x)</c:v>
                </c:pt>
              </c:strCache>
            </c:strRef>
          </c:tx>
          <c:spPr>
            <a:solidFill>
              <a:srgbClr val="5b9bd5"/>
            </a:solidFill>
            <a:ln w="19080">
              <a:solidFill>
                <a:srgbClr val="5b9bd5"/>
              </a:solidFill>
              <a:round/>
            </a:ln>
          </c:spPr>
          <c:dLbls>
            <c:txPr>
              <a:bodyPr wrap="squar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Calibri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xVal>
            <c:numRef>
              <c:f>1</c:f>
              <c:numCache>
                <c:formatCode>General</c:formatCode>
                <c:ptCount val="17"/>
                <c:pt idx="0">
                  <c:v>20</c:v>
                </c:pt>
                <c:pt idx="1">
                  <c:v>25</c:v>
                </c:pt>
                <c:pt idx="2">
                  <c:v>30</c:v>
                </c:pt>
                <c:pt idx="3">
                  <c:v>35</c:v>
                </c:pt>
                <c:pt idx="4">
                  <c:v>40</c:v>
                </c:pt>
                <c:pt idx="5">
                  <c:v>45</c:v>
                </c:pt>
                <c:pt idx="6">
                  <c:v>50</c:v>
                </c:pt>
                <c:pt idx="7">
                  <c:v>55</c:v>
                </c:pt>
                <c:pt idx="8">
                  <c:v>60</c:v>
                </c:pt>
                <c:pt idx="9">
                  <c:v>65</c:v>
                </c:pt>
                <c:pt idx="10">
                  <c:v>70</c:v>
                </c:pt>
                <c:pt idx="11">
                  <c:v>75</c:v>
                </c:pt>
                <c:pt idx="12">
                  <c:v>80</c:v>
                </c:pt>
                <c:pt idx="13">
                  <c:v>85</c:v>
                </c:pt>
                <c:pt idx="14">
                  <c:v>90</c:v>
                </c:pt>
                <c:pt idx="15">
                  <c:v>95</c:v>
                </c:pt>
                <c:pt idx="16">
                  <c:v>100</c:v>
                </c:pt>
              </c:numCache>
            </c:numRef>
          </c:xVal>
          <c:yVal>
            <c:numRef>
              <c:f>0</c:f>
              <c:numCache>
                <c:formatCode>General</c:formatCode>
                <c:ptCount val="17"/>
                <c:pt idx="0">
                  <c:v>19.769</c:v>
                </c:pt>
                <c:pt idx="1">
                  <c:v>19.539</c:v>
                </c:pt>
                <c:pt idx="2">
                  <c:v>18.496</c:v>
                </c:pt>
                <c:pt idx="3">
                  <c:v>19.21</c:v>
                </c:pt>
                <c:pt idx="4">
                  <c:v>19.076</c:v>
                </c:pt>
                <c:pt idx="5">
                  <c:v>18.997</c:v>
                </c:pt>
                <c:pt idx="6">
                  <c:v>18.947</c:v>
                </c:pt>
                <c:pt idx="7">
                  <c:v>19.526</c:v>
                </c:pt>
                <c:pt idx="8">
                  <c:v>18.927</c:v>
                </c:pt>
                <c:pt idx="9">
                  <c:v>18.975</c:v>
                </c:pt>
                <c:pt idx="10">
                  <c:v>19.029</c:v>
                </c:pt>
                <c:pt idx="11">
                  <c:v>19.122</c:v>
                </c:pt>
                <c:pt idx="12">
                  <c:v>19.57</c:v>
                </c:pt>
                <c:pt idx="13">
                  <c:v>19.748</c:v>
                </c:pt>
                <c:pt idx="14">
                  <c:v>19.485</c:v>
                </c:pt>
                <c:pt idx="15">
                  <c:v>19.64</c:v>
                </c:pt>
                <c:pt idx="16">
                  <c:v>19.617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label 2</c:f>
              <c:strCache>
                <c:ptCount val="1"/>
                <c:pt idx="0">
                  <c:v>tB=f(x)</c:v>
                </c:pt>
              </c:strCache>
            </c:strRef>
          </c:tx>
          <c:spPr>
            <a:solidFill>
              <a:srgbClr val="ed7d31"/>
            </a:solidFill>
            <a:ln w="19080">
              <a:solidFill>
                <a:srgbClr val="ed7d31"/>
              </a:solidFill>
              <a:round/>
            </a:ln>
          </c:spPr>
          <c:dLbls>
            <c:txPr>
              <a:bodyPr wrap="squar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Calibri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xVal>
            <c:numRef>
              <c:f>3</c:f>
              <c:numCache>
                <c:formatCode>General</c:formatCode>
                <c:ptCount val="17"/>
                <c:pt idx="0">
                  <c:v>12</c:v>
                </c:pt>
                <c:pt idx="1">
                  <c:v>17</c:v>
                </c:pt>
                <c:pt idx="2">
                  <c:v>22</c:v>
                </c:pt>
                <c:pt idx="3">
                  <c:v>27</c:v>
                </c:pt>
                <c:pt idx="4">
                  <c:v>32</c:v>
                </c:pt>
                <c:pt idx="5">
                  <c:v>37</c:v>
                </c:pt>
                <c:pt idx="6">
                  <c:v>42</c:v>
                </c:pt>
                <c:pt idx="7">
                  <c:v>47</c:v>
                </c:pt>
                <c:pt idx="8">
                  <c:v>52</c:v>
                </c:pt>
                <c:pt idx="9">
                  <c:v>57</c:v>
                </c:pt>
                <c:pt idx="10">
                  <c:v>62</c:v>
                </c:pt>
                <c:pt idx="11">
                  <c:v>67</c:v>
                </c:pt>
                <c:pt idx="12">
                  <c:v>72</c:v>
                </c:pt>
                <c:pt idx="13">
                  <c:v>77</c:v>
                </c:pt>
                <c:pt idx="14">
                  <c:v>82</c:v>
                </c:pt>
                <c:pt idx="15">
                  <c:v>87</c:v>
                </c:pt>
              </c:numCache>
            </c:numRef>
          </c:xVal>
          <c:yVal>
            <c:numRef>
              <c:f>2</c:f>
              <c:numCache>
                <c:formatCode>General</c:formatCode>
                <c:ptCount val="17"/>
                <c:pt idx="0">
                  <c:v>20.603</c:v>
                </c:pt>
                <c:pt idx="1">
                  <c:v>20.249</c:v>
                </c:pt>
                <c:pt idx="2">
                  <c:v>19.902</c:v>
                </c:pt>
                <c:pt idx="3">
                  <c:v>19.572</c:v>
                </c:pt>
                <c:pt idx="4">
                  <c:v>18.259</c:v>
                </c:pt>
                <c:pt idx="5">
                  <c:v>18.945</c:v>
                </c:pt>
                <c:pt idx="6">
                  <c:v>18.673</c:v>
                </c:pt>
                <c:pt idx="7">
                  <c:v>18.449</c:v>
                </c:pt>
                <c:pt idx="8">
                  <c:v>18.267</c:v>
                </c:pt>
                <c:pt idx="9">
                  <c:v>18.145</c:v>
                </c:pt>
                <c:pt idx="10">
                  <c:v>18.722</c:v>
                </c:pt>
                <c:pt idx="11">
                  <c:v>18.252</c:v>
                </c:pt>
                <c:pt idx="12">
                  <c:v>18.54</c:v>
                </c:pt>
                <c:pt idx="13">
                  <c:v>19.089</c:v>
                </c:pt>
                <c:pt idx="14">
                  <c:v>19.95</c:v>
                </c:pt>
                <c:pt idx="15">
                  <c:v>21.478</c:v>
                </c:pt>
              </c:numCache>
            </c:numRef>
          </c:yVal>
          <c:smooth val="0"/>
        </c:ser>
        <c:axId val="95279773"/>
        <c:axId val="52735748"/>
      </c:scatterChart>
      <c:valAx>
        <c:axId val="95279773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spPr>
          <a:ln w="6480">
            <a:solidFill>
              <a:srgbClr val="8b8b8b"/>
            </a:solidFill>
            <a:round/>
          </a:ln>
        </c:spPr>
        <c:txPr>
          <a:bodyPr/>
          <a:lstStyle/>
          <a:p>
            <a:pPr>
              <a:defRPr b="0" sz="1000" spc="-1" strike="noStrike">
                <a:solidFill>
                  <a:srgbClr val="000000"/>
                </a:solidFill>
                <a:latin typeface="Calibri"/>
              </a:defRPr>
            </a:pPr>
          </a:p>
        </c:txPr>
        <c:crossAx val="52735748"/>
        <c:crosses val="autoZero"/>
        <c:crossBetween val="midCat"/>
      </c:valAx>
      <c:valAx>
        <c:axId val="52735748"/>
        <c:scaling>
          <c:orientation val="minMax"/>
        </c:scaling>
        <c:delete val="0"/>
        <c:axPos val="l"/>
        <c:majorGridlines>
          <c:spPr>
            <a:ln w="6480">
              <a:solidFill>
                <a:srgbClr val="8b8b8b"/>
              </a:solidFill>
              <a:round/>
            </a:ln>
          </c:spPr>
        </c:majorGridlines>
        <c:numFmt formatCode="General" sourceLinked="0"/>
        <c:majorTickMark val="out"/>
        <c:minorTickMark val="none"/>
        <c:tickLblPos val="nextTo"/>
        <c:spPr>
          <a:ln w="6480">
            <a:solidFill>
              <a:srgbClr val="8b8b8b"/>
            </a:solidFill>
            <a:round/>
          </a:ln>
        </c:spPr>
        <c:txPr>
          <a:bodyPr/>
          <a:lstStyle/>
          <a:p>
            <a:pPr>
              <a:defRPr b="0" sz="1000" spc="-1" strike="noStrike">
                <a:solidFill>
                  <a:srgbClr val="000000"/>
                </a:solidFill>
                <a:latin typeface="Calibri"/>
              </a:defRPr>
            </a:pPr>
          </a:p>
        </c:txPr>
        <c:crossAx val="95279773"/>
        <c:crosses val="autoZero"/>
        <c:crossBetween val="midCat"/>
      </c:valAx>
      <c:spPr>
        <a:noFill/>
        <a:ln w="0">
          <a:noFill/>
        </a:ln>
      </c:spPr>
    </c:plotArea>
    <c:legend>
      <c:legendPos val="r"/>
      <c:overlay val="0"/>
      <c:spPr>
        <a:noFill/>
        <a:ln w="0">
          <a:noFill/>
        </a:ln>
      </c:spPr>
      <c:txPr>
        <a:bodyPr/>
        <a:lstStyle/>
        <a:p>
          <a:pPr>
            <a:defRPr b="0" sz="1000" spc="-1" strike="noStrike">
              <a:solidFill>
                <a:srgbClr val="000000"/>
              </a:solidFill>
              <a:latin typeface="Calibri"/>
            </a:defRPr>
          </a:pPr>
        </a:p>
      </c:txPr>
    </c:legend>
    <c:plotVisOnly val="1"/>
    <c:dispBlanksAs val="gap"/>
  </c:chart>
  <c:spPr>
    <a:solidFill>
      <a:srgbClr val="ffffff"/>
    </a:solidFill>
    <a:ln w="9360">
      <a:solidFill>
        <a:srgbClr val="ffffff"/>
      </a:solidFill>
      <a:round/>
    </a:ln>
  </c:spPr>
  <c:externalData r:id="rId1"/>
</c:chartSpace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Application>LibreOffice/24.2.4.2$Windows_X86_64 LibreOffice_project/51a6219feb6075d9a4c46691dcfe0cd9c4fff3c2</Application>
  <AppVersion>15.0000</AppVersion>
  <Pages>5</Pages>
  <Words>569</Words>
  <Characters>3418</Characters>
  <CharactersWithSpaces>3889</CharactersWithSpaces>
  <Paragraphs>225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2019-05-30T17:12:00Z</dcterms:created>
  <dc:creator/>
  <dc:description/>
  <dc:language>en-GB</dc:language>
  <cp:lastModifiedBy/>
  <dcterms:modified xsi:type="dcterms:W3CDTF">2024-11-24T15:46:23Z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