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cs="Calibri" w:ascii="Calibri" w:hAnsi="Calibri" w:asciiTheme="minorHAnsi" w:cstheme="minorHAnsi" w:hAnsiTheme="minorHAnsi"/>
          <w:sz w:val="48"/>
          <w:szCs w:val="48"/>
        </w:rPr>
        <w:t xml:space="preserve">Sieci IP  </w:t>
      </w:r>
      <w:r>
        <w:rPr>
          <w:rFonts w:cs="Calibri" w:ascii="Calibri" w:hAnsi="Calibri" w:asciiTheme="minorHAnsi" w:cstheme="minorHAnsi" w:hAnsiTheme="minorHAnsi"/>
          <w:sz w:val="48"/>
          <w:szCs w:val="48"/>
        </w:rPr>
        <w:t>2019</w:t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48"/>
          <w:szCs w:val="48"/>
        </w:rPr>
      </w:pPr>
      <w:r>
        <w:rPr>
          <w:rFonts w:cs="Calibri" w:ascii="Calibri" w:hAnsi="Calibri" w:asciiTheme="minorHAnsi" w:cstheme="minorHAnsi" w:hAnsiTheme="minorHAnsi"/>
          <w:sz w:val="48"/>
          <w:szCs w:val="48"/>
        </w:rPr>
        <w:t>Pierwszy termin:</w:t>
        <w:br/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b/>
        </w:rPr>
        <w:t>Omów etapy działania protokoły OSPF (od nawiązania relacji sąsiedztwa do zarządzania informacjami o routingu). Podaj warunki konieczna do uzyskania relacji sąsiedztwa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Etap_1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Rozesłanie wiadomości </w:t>
      </w:r>
      <w:r>
        <w:rPr>
          <w:rFonts w:cs="Calibri" w:ascii="Calibri" w:hAnsi="Calibri" w:asciiTheme="minorHAnsi" w:cstheme="minorHAnsi" w:hAnsiTheme="minorHAnsi"/>
          <w:i/>
          <w:highlight w:val="yellow"/>
        </w:rPr>
        <w:t>HELLO</w:t>
      </w:r>
      <w:r>
        <w:rPr>
          <w:rFonts w:cs="Calibri" w:ascii="Calibri" w:hAnsi="Calibri" w:asciiTheme="minorHAnsi" w:cstheme="minorHAnsi" w:hAnsiTheme="minorHAnsi"/>
          <w:i/>
        </w:rPr>
        <w:t xml:space="preserve">, </w:t>
      </w:r>
      <w:r>
        <w:rPr>
          <w:rFonts w:cs="Calibri" w:ascii="Calibri" w:hAnsi="Calibri" w:asciiTheme="minorHAnsi" w:cstheme="minorHAnsi" w:hAnsiTheme="minorHAnsi"/>
        </w:rPr>
        <w:t>co skutkuje ustaleniem relacji przylegania z sąsiadami.</w:t>
        <w:br/>
        <w:br/>
        <w:t xml:space="preserve">Etap_2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cs="Calibri" w:ascii="Calibri" w:hAnsi="Calibri" w:asciiTheme="minorHAnsi" w:cstheme="minorHAnsi" w:hAnsiTheme="minorHAnsi"/>
          <w:highlight w:val="yellow"/>
        </w:rPr>
        <w:t>Synchronizacja baz danych między routerami</w:t>
      </w:r>
      <w:r>
        <w:rPr>
          <w:rFonts w:cs="Calibri" w:ascii="Calibri" w:hAnsi="Calibri" w:asciiTheme="minorHAnsi" w:cstheme="minorHAnsi" w:hAnsiTheme="minorHAnsi"/>
        </w:rPr>
        <w:t xml:space="preserve">. DBD= </w:t>
      </w:r>
      <w:r>
        <w:rPr>
          <w:rFonts w:cs="Calibri" w:ascii="Calibri" w:hAnsi="Calibri" w:asciiTheme="minorHAnsi" w:cstheme="minorHAnsi" w:hAnsiTheme="minorHAnsi"/>
          <w:i/>
        </w:rPr>
        <w:t>database description padket.</w:t>
      </w:r>
      <w:r>
        <w:rPr>
          <w:rFonts w:cs="Calibri" w:ascii="Calibri" w:hAnsi="Calibri" w:asciiTheme="minorHAnsi" w:cstheme="minorHAnsi" w:hAnsiTheme="minorHAnsi"/>
        </w:rPr>
        <w:t xml:space="preserve"> Opisuje zawartość stanu łącza routera OSPF. </w:t>
      </w:r>
      <w:r>
        <w:rPr>
          <w:rFonts w:cs="Calibri" w:ascii="Calibri" w:hAnsi="Calibri" w:asciiTheme="minorHAnsi" w:cstheme="minorHAnsi" w:hAnsiTheme="minorHAnsi"/>
          <w:highlight w:val="yellow"/>
        </w:rPr>
        <w:t>Wybór ruterów DR i BDR</w:t>
      </w:r>
      <w:r>
        <w:rPr>
          <w:rFonts w:cs="Calibri" w:ascii="Calibri" w:hAnsi="Calibri" w:asciiTheme="minorHAnsi" w:cstheme="minorHAnsi" w:hAnsiTheme="minorHAnsi"/>
        </w:rPr>
        <w:t xml:space="preserve"> jeśli jest to konieczne.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Etap_3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LSR = </w:t>
      </w:r>
      <w:r>
        <w:rPr>
          <w:rFonts w:cs="Calibri" w:ascii="Calibri" w:hAnsi="Calibri" w:asciiTheme="minorHAnsi" w:cstheme="minorHAnsi" w:hAnsiTheme="minorHAnsi"/>
          <w:i/>
        </w:rPr>
        <w:t xml:space="preserve">link-state request. </w:t>
      </w:r>
      <w:r>
        <w:rPr>
          <w:rFonts w:cs="Calibri" w:ascii="Calibri" w:hAnsi="Calibri" w:asciiTheme="minorHAnsi" w:cstheme="minorHAnsi" w:hAnsiTheme="minorHAnsi"/>
        </w:rPr>
        <w:t xml:space="preserve">Żądanie określonej informacji z tablic stanu łącza routera. </w:t>
      </w:r>
      <w:r>
        <w:rPr>
          <w:rFonts w:cs="Calibri" w:ascii="Calibri" w:hAnsi="Calibri" w:asciiTheme="minorHAnsi" w:cstheme="minorHAnsi" w:hAnsiTheme="minorHAnsi"/>
          <w:highlight w:val="yellow"/>
        </w:rPr>
        <w:t>Wyznaczanie wszystkich możliwych ścieżek</w:t>
      </w:r>
      <w:r>
        <w:rPr>
          <w:rFonts w:cs="Calibri" w:ascii="Calibri" w:hAnsi="Calibri" w:asciiTheme="minorHAnsi" w:cstheme="minorHAnsi" w:hAnsiTheme="minorHAnsi"/>
        </w:rPr>
        <w:t>. (Tworzenie drzewa najkrótszych ścieżek)</w:t>
        <w:br/>
        <w:br/>
        <w:t xml:space="preserve">Etap_4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LSU = </w:t>
      </w:r>
      <w:r>
        <w:rPr>
          <w:rFonts w:cs="Calibri" w:ascii="Calibri" w:hAnsi="Calibri" w:asciiTheme="minorHAnsi" w:cstheme="minorHAnsi" w:hAnsiTheme="minorHAnsi"/>
          <w:i/>
        </w:rPr>
        <w:t xml:space="preserve">link-state update. </w:t>
      </w:r>
      <w:r>
        <w:rPr>
          <w:rFonts w:cs="Calibri" w:ascii="Calibri" w:hAnsi="Calibri" w:asciiTheme="minorHAnsi" w:cstheme="minorHAnsi" w:hAnsiTheme="minorHAnsi"/>
        </w:rPr>
        <w:t xml:space="preserve">Przenoszenie ogłoszenia stanu łącza między routerami. </w:t>
      </w:r>
      <w:r>
        <w:rPr>
          <w:rFonts w:cs="Calibri" w:ascii="Calibri" w:hAnsi="Calibri" w:asciiTheme="minorHAnsi" w:cstheme="minorHAnsi" w:hAnsiTheme="minorHAnsi"/>
          <w:highlight w:val="yellow"/>
        </w:rPr>
        <w:t>Zarządzanie tablicami rutingu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Etap_5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LSAck = </w:t>
      </w:r>
      <w:r>
        <w:rPr>
          <w:rFonts w:cs="Calibri" w:ascii="Calibri" w:hAnsi="Calibri" w:asciiTheme="minorHAnsi" w:cstheme="minorHAnsi" w:hAnsiTheme="minorHAnsi"/>
          <w:i/>
        </w:rPr>
        <w:t xml:space="preserve">Links-state acknowledgment. </w:t>
      </w:r>
      <w:r>
        <w:rPr>
          <w:rFonts w:cs="Calibri" w:ascii="Calibri" w:hAnsi="Calibri" w:asciiTheme="minorHAnsi" w:cstheme="minorHAnsi" w:hAnsiTheme="minorHAnsi"/>
        </w:rPr>
        <w:t xml:space="preserve">Potwierdzenie odebrania od sąsiedniego routera LSA. </w:t>
      </w:r>
      <w:r>
        <w:rPr>
          <w:rFonts w:cs="Calibri" w:ascii="Calibri" w:hAnsi="Calibri" w:asciiTheme="minorHAnsi" w:cstheme="minorHAnsi" w:hAnsiTheme="minorHAnsi"/>
          <w:highlight w:val="yellow"/>
        </w:rPr>
        <w:t>Utrzymanie LSDB i tablicy rutingu</w:t>
      </w:r>
      <w:r>
        <w:rPr>
          <w:rFonts w:cs="Calibri" w:ascii="Calibri" w:hAnsi="Calibri" w:asciiTheme="minorHAnsi" w:cstheme="minorHAnsi" w:hAnsiTheme="minorHAnsi"/>
        </w:rPr>
        <w:t>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Warunkiem koniecznym do uzyskania relacji sąsiedztwa jest to, że wartości liczników </w:t>
      </w:r>
      <w:r>
        <w:rPr>
          <w:rFonts w:cs="Calibri" w:ascii="Calibri" w:hAnsi="Calibri" w:asciiTheme="minorHAnsi" w:cstheme="minorHAnsi" w:hAnsiTheme="minorHAnsi"/>
          <w:i/>
        </w:rPr>
        <w:t xml:space="preserve">hello </w:t>
      </w:r>
      <w:r>
        <w:rPr>
          <w:rFonts w:cs="Calibri" w:ascii="Calibri" w:hAnsi="Calibri" w:asciiTheme="minorHAnsi" w:cstheme="minorHAnsi" w:hAnsiTheme="minorHAnsi"/>
        </w:rPr>
        <w:t xml:space="preserve">oraz </w:t>
      </w:r>
      <w:r>
        <w:rPr>
          <w:rFonts w:cs="Calibri" w:ascii="Calibri" w:hAnsi="Calibri" w:asciiTheme="minorHAnsi" w:cstheme="minorHAnsi" w:hAnsiTheme="minorHAnsi"/>
          <w:i/>
        </w:rPr>
        <w:t xml:space="preserve">dead </w:t>
      </w:r>
      <w:r>
        <w:rPr>
          <w:rFonts w:cs="Calibri" w:ascii="Calibri" w:hAnsi="Calibri" w:asciiTheme="minorHAnsi" w:cstheme="minorHAnsi" w:hAnsiTheme="minorHAnsi"/>
        </w:rPr>
        <w:t xml:space="preserve">muszą być takie same. W przeciwnym razie stracimy relacje sąsiedztwa z innymi routerami. Ponad to </w:t>
      </w:r>
      <w:r>
        <w:rPr>
          <w:rFonts w:cs="Calibri" w:ascii="Calibri" w:hAnsi="Calibri" w:asciiTheme="minorHAnsi" w:cstheme="minorHAnsi" w:hAnsiTheme="minorHAnsi"/>
          <w:highlight w:val="yellow"/>
        </w:rPr>
        <w:t>routery muszą być w tym samym obszarze</w:t>
      </w:r>
      <w:r>
        <w:rPr>
          <w:rFonts w:cs="Calibri" w:ascii="Calibri" w:hAnsi="Calibri" w:asciiTheme="minorHAnsi" w:cstheme="minorHAnsi" w:hAnsiTheme="minorHAnsi"/>
        </w:rPr>
        <w:t xml:space="preserve"> oraz pakiety hello muszą zawierać takie same wartości parametrów:</w:t>
      </w:r>
    </w:p>
    <w:p>
      <w:pPr>
        <w:pStyle w:val="ListParagraph"/>
        <w:numPr>
          <w:ilvl w:val="0"/>
          <w:numId w:val="3"/>
        </w:numPr>
        <w:rPr>
          <w:rFonts w:ascii="Calibri" w:hAnsi="Calibri" w:cs="Calibri" w:asciiTheme="minorHAnsi" w:cstheme="minorHAnsi" w:hAnsiTheme="minorHAnsi"/>
          <w:i/>
          <w:i/>
          <w:highlight w:val="cyan"/>
        </w:rPr>
      </w:pPr>
      <w:r>
        <w:rPr>
          <w:rFonts w:cs="Calibri" w:ascii="Calibri" w:hAnsi="Calibri" w:asciiTheme="minorHAnsi" w:cstheme="minorHAnsi" w:hAnsiTheme="minorHAnsi"/>
          <w:i/>
          <w:highlight w:val="cyan"/>
        </w:rPr>
        <w:t>Hello interval</w:t>
      </w:r>
    </w:p>
    <w:p>
      <w:pPr>
        <w:pStyle w:val="ListParagraph"/>
        <w:numPr>
          <w:ilvl w:val="0"/>
          <w:numId w:val="3"/>
        </w:numPr>
        <w:rPr>
          <w:rFonts w:ascii="Calibri" w:hAnsi="Calibri" w:cs="Calibri" w:asciiTheme="minorHAnsi" w:cstheme="minorHAnsi" w:hAnsiTheme="minorHAnsi"/>
          <w:i/>
          <w:i/>
          <w:highlight w:val="cyan"/>
        </w:rPr>
      </w:pPr>
      <w:r>
        <w:rPr>
          <w:rFonts w:cs="Calibri" w:ascii="Calibri" w:hAnsi="Calibri" w:asciiTheme="minorHAnsi" w:cstheme="minorHAnsi" w:hAnsiTheme="minorHAnsi"/>
          <w:i/>
          <w:highlight w:val="cyan"/>
        </w:rPr>
        <w:t>Dead interval</w:t>
      </w:r>
    </w:p>
    <w:p>
      <w:pPr>
        <w:pStyle w:val="ListParagraph"/>
        <w:numPr>
          <w:ilvl w:val="0"/>
          <w:numId w:val="3"/>
        </w:numPr>
        <w:rPr>
          <w:rFonts w:ascii="Calibri" w:hAnsi="Calibri" w:cs="Calibri" w:asciiTheme="minorHAnsi" w:cstheme="minorHAnsi" w:hAnsiTheme="minorHAnsi"/>
          <w:i/>
          <w:i/>
          <w:highlight w:val="cyan"/>
        </w:rPr>
      </w:pPr>
      <w:r>
        <w:rPr>
          <w:rFonts w:cs="Calibri" w:ascii="Calibri" w:hAnsi="Calibri" w:asciiTheme="minorHAnsi" w:cstheme="minorHAnsi" w:hAnsiTheme="minorHAnsi"/>
          <w:i/>
          <w:highlight w:val="cyan"/>
        </w:rPr>
        <w:t>Network type</w:t>
      </w:r>
    </w:p>
    <w:p>
      <w:pPr>
        <w:pStyle w:val="ListParagraph"/>
        <w:numPr>
          <w:ilvl w:val="0"/>
          <w:numId w:val="3"/>
        </w:numPr>
        <w:rPr>
          <w:rFonts w:ascii="Calibri" w:hAnsi="Calibri" w:cs="Calibri" w:asciiTheme="minorHAnsi" w:cstheme="minorHAnsi" w:hAnsiTheme="minorHAnsi"/>
          <w:i/>
          <w:i/>
          <w:highlight w:val="cyan"/>
        </w:rPr>
      </w:pPr>
      <w:r>
        <w:rPr>
          <w:rFonts w:cs="Calibri" w:ascii="Calibri" w:hAnsi="Calibri" w:asciiTheme="minorHAnsi" w:cstheme="minorHAnsi" w:hAnsiTheme="minorHAnsi"/>
          <w:i/>
          <w:highlight w:val="cyan"/>
        </w:rPr>
        <w:t>Area id</w:t>
      </w:r>
    </w:p>
    <w:p>
      <w:pPr>
        <w:pStyle w:val="ListParagraph"/>
        <w:numPr>
          <w:ilvl w:val="0"/>
          <w:numId w:val="3"/>
        </w:numPr>
        <w:rPr>
          <w:rFonts w:ascii="Calibri" w:hAnsi="Calibri" w:cs="Calibri" w:asciiTheme="minorHAnsi" w:cstheme="minorHAnsi" w:hAnsiTheme="minorHAnsi"/>
          <w:i/>
          <w:i/>
          <w:highlight w:val="cyan"/>
        </w:rPr>
      </w:pPr>
      <w:r>
        <w:rPr>
          <w:rFonts w:cs="Calibri" w:ascii="Calibri" w:hAnsi="Calibri" w:asciiTheme="minorHAnsi" w:cstheme="minorHAnsi" w:hAnsiTheme="minorHAnsi"/>
          <w:i/>
          <w:highlight w:val="cyan"/>
        </w:rPr>
        <w:t>Authentication password</w:t>
      </w:r>
    </w:p>
    <w:p>
      <w:pPr>
        <w:pStyle w:val="ListParagraph"/>
        <w:numPr>
          <w:ilvl w:val="0"/>
          <w:numId w:val="3"/>
        </w:numPr>
        <w:rPr>
          <w:rFonts w:ascii="Calibri" w:hAnsi="Calibri" w:cs="Calibri" w:asciiTheme="minorHAnsi" w:cstheme="minorHAnsi" w:hAnsiTheme="minorHAnsi"/>
          <w:i/>
          <w:i/>
          <w:highlight w:val="cyan"/>
        </w:rPr>
      </w:pPr>
      <w:r>
        <w:rPr>
          <w:rFonts w:cs="Calibri" w:ascii="Calibri" w:hAnsi="Calibri" w:asciiTheme="minorHAnsi" w:cstheme="minorHAnsi" w:hAnsiTheme="minorHAnsi"/>
          <w:i/>
          <w:highlight w:val="cyan"/>
        </w:rPr>
        <w:t>Stub area flag</w:t>
      </w:r>
    </w:p>
    <w:p>
      <w:pPr>
        <w:pStyle w:val="ListParagraph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ascii="Calibri" w:hAnsi="Calibri" w:asciiTheme="minorHAnsi" w:cstheme="minorHAnsi" w:hAnsiTheme="minorHAnsi"/>
          <w:i/>
        </w:rPr>
        <w:tab/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>Omów problemy związanie z pracą OSPF w dużych sieciach. Scharakteryzuj (podając m.in. typy wiadomości) poszczególne typy obszarów OSPF.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W dużych sieciach należy zastosować protokół OSPF w konfiguracji wieloobszarowej.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Wszystkie obszary dołączone muszą być do obszaru dystrybucyjnego (area 0</w:t>
      </w:r>
      <w:r>
        <w:rPr>
          <w:rFonts w:cs="Calibri" w:ascii="Calibri" w:hAnsi="Calibri" w:asciiTheme="minorHAnsi" w:cstheme="minorHAnsi" w:hAnsiTheme="minorHAnsi"/>
          <w:i/>
          <w:highlight w:val="yellow"/>
        </w:rPr>
        <w:t>).</w:t>
      </w:r>
      <w:r>
        <w:rPr>
          <w:rFonts w:cs="Calibri" w:ascii="Calibri" w:hAnsi="Calibri" w:asciiTheme="minorHAnsi" w:cstheme="minorHAnsi" w:hAnsiTheme="minorHAnsi"/>
          <w:i/>
        </w:rPr>
        <w:t xml:space="preserve"> Obszar ten nazywany jest szkieletem. </w:t>
      </w:r>
      <w:r>
        <w:rPr>
          <w:rFonts w:cs="Calibri" w:ascii="Calibri" w:hAnsi="Calibri" w:asciiTheme="minorHAnsi" w:cstheme="minorHAnsi" w:hAnsiTheme="minorHAnsi"/>
        </w:rPr>
        <w:t>Takie podejście umożliwia minimalizacje sterowania uaktualnieniami routingu.</w:t>
        <w:br/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Problemy dużych sieci OSPF: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Duże tablice stanu łączy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Każdy router utrzymuje LSDB dla wszystkich łączy w danym obszarze. LSDB wykorzystuje pamięć.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Częste uaktualnienia SPF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Zmiana topologii w danym obszarze zmusza każdy z routerów do ponownego uruchomienia SPF w celu przebudowania drzewa i tablicy rutingu.</w:t>
      </w:r>
    </w:p>
    <w:p>
      <w:pPr>
        <w:pStyle w:val="ListParagraph"/>
        <w:numPr>
          <w:ilvl w:val="0"/>
          <w:numId w:val="4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Duże tablice rutingu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Większa tablica routingu wymaga więcej pamięci, dłuższy jest także czas potrzebny do jej przeszukania.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360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Typy obszarów OSPF:</w:t>
      </w:r>
    </w:p>
    <w:p>
      <w:pPr>
        <w:pStyle w:val="ListParagraph"/>
        <w:numPr>
          <w:ilvl w:val="0"/>
          <w:numId w:val="8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Backbone Area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obszar area 0. Wszystkie obszary muszą przylegać do tego obszaru.</w:t>
      </w:r>
    </w:p>
    <w:p>
      <w:pPr>
        <w:pStyle w:val="ListParagraph"/>
        <w:numPr>
          <w:ilvl w:val="0"/>
          <w:numId w:val="8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Standard Area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obszar przyłączony do area 0.</w:t>
      </w:r>
    </w:p>
    <w:p>
      <w:pPr>
        <w:pStyle w:val="ListParagraph"/>
        <w:numPr>
          <w:ilvl w:val="0"/>
          <w:numId w:val="8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Stub Area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obszar w którym nie są akceptowalne informacje o innych podsieciach pochodzące z redystrybucji po przez blokadę pakietów LSA type 5. </w:t>
      </w:r>
    </w:p>
    <w:p>
      <w:pPr>
        <w:pStyle w:val="ListParagraph"/>
        <w:numPr>
          <w:ilvl w:val="0"/>
          <w:numId w:val="8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Totally Stub Area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obszar, który nie akceptuje żadnych pakietów LSA zawierających zsumaryzowane informacje o innych podsieciach pochodzących z poza obszaru TSA. </w:t>
      </w:r>
    </w:p>
    <w:p>
      <w:pPr>
        <w:pStyle w:val="ListParagraph"/>
        <w:numPr>
          <w:ilvl w:val="0"/>
          <w:numId w:val="8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  <w:highlight w:val="yellow"/>
        </w:rPr>
        <w:t>Not So Stubby Area (NSSA)</w:t>
      </w: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eastAsia="Wingdings" w:cs="Wingdings" w:ascii="Wingdings" w:hAnsi="Wingdings"/>
          <w:lang w:val="en-U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Zewnętrzne ścieżki nie są przyjmowane ani rozpropagowywane poza obszar, dozwolone są informacje sumaryzacyjne. Informacja o trasach z innych obszarów rozpropagowywana jest wewnątrz obszaru NSSA za pomocą pakietów LSA 7. 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>Porównaj po przez wskazanie różnic IPv4 i IPv6.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IPv6 znacząco rozszerza ilość adresów IP możliwych do przydzielenia. Jest to </w:t>
      </w:r>
      <w:r>
        <w:rPr>
          <w:rFonts w:cs="Calibri" w:ascii="Calibri" w:hAnsi="Calibri" w:asciiTheme="minorHAnsi" w:cstheme="minorHAnsi" w:hAnsiTheme="minorHAnsi"/>
          <w:highlight w:val="yellow"/>
        </w:rPr>
        <w:t>2</w:t>
      </w:r>
      <w:r>
        <w:rPr>
          <w:rFonts w:cs="Calibri" w:ascii="Calibri" w:hAnsi="Calibri" w:asciiTheme="minorHAnsi" w:cstheme="minorHAnsi" w:hAnsiTheme="minorHAnsi"/>
          <w:highlight w:val="yellow"/>
          <w:vertAlign w:val="superscript"/>
        </w:rPr>
        <w:t>128</w:t>
      </w:r>
      <w:r>
        <w:rPr>
          <w:rFonts w:cs="Calibri" w:ascii="Calibri" w:hAnsi="Calibri" w:asciiTheme="minorHAnsi" w:cstheme="minorHAnsi" w:hAnsiTheme="minorHAnsi"/>
          <w:vertAlign w:val="superscript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 xml:space="preserve">kombinacji, a nie </w:t>
      </w:r>
      <w:r>
        <w:rPr>
          <w:rFonts w:cs="Calibri" w:ascii="Calibri" w:hAnsi="Calibri" w:asciiTheme="minorHAnsi" w:cstheme="minorHAnsi" w:hAnsiTheme="minorHAnsi"/>
          <w:highlight w:val="yellow"/>
        </w:rPr>
        <w:t>2</w:t>
      </w:r>
      <w:r>
        <w:rPr>
          <w:rFonts w:cs="Calibri" w:ascii="Calibri" w:hAnsi="Calibri" w:asciiTheme="minorHAnsi" w:cstheme="minorHAnsi" w:hAnsiTheme="minorHAnsi"/>
          <w:highlight w:val="yellow"/>
          <w:vertAlign w:val="superscript"/>
        </w:rPr>
        <w:t>32</w:t>
      </w:r>
      <w:r>
        <w:rPr>
          <w:rFonts w:cs="Calibri" w:ascii="Calibri" w:hAnsi="Calibri" w:asciiTheme="minorHAnsi" w:cstheme="minorHAnsi" w:hAnsiTheme="minorHAnsi"/>
          <w:vertAlign w:val="superscript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>jak w przypadku IPv4.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tbl>
      <w:tblPr>
        <w:tblStyle w:val="Zwykatabela2"/>
        <w:tblW w:w="906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3020"/>
        <w:gridCol w:w="3021"/>
        <w:gridCol w:w="302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9CC2E5" w:themeFill="accent5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cecha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color="auto" w:fill="9CC2E5" w:themeFill="accent5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IPv4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color="auto" w:fill="9CC2E5" w:themeFill="accent5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IPv6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notacja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dziesiętna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szesnastkowa</w:t>
            </w:r>
          </w:p>
        </w:tc>
      </w:tr>
      <w:tr>
        <w:trPr/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insideH w:val="nil"/>
            </w:tcBorders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Długość adresu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bottom w:val="nil"/>
              <w:right w:val="single" w:sz="4" w:space="0" w:color="7F7F7F"/>
              <w:insideH w:val="nil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32 bity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bottom w:val="nil"/>
              <w:right w:val="single" w:sz="4" w:space="0" w:color="7F7F7F"/>
              <w:insideH w:val="nil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128 bitów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Wsparcie IPSec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opcjonalne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wymagane</w:t>
            </w:r>
          </w:p>
        </w:tc>
      </w:tr>
      <w:tr>
        <w:trPr/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insideH w:val="nil"/>
            </w:tcBorders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Przydzielenie adresu IP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bottom w:val="nil"/>
              <w:right w:val="single" w:sz="4" w:space="0" w:color="7F7F7F"/>
              <w:insideH w:val="nil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DHCP, APIPA, samodzielna konfiguracja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bottom w:val="nil"/>
              <w:right w:val="single" w:sz="4" w:space="0" w:color="7F7F7F"/>
              <w:insideH w:val="nil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DHCP, auto konfiguracja lub konfiguracja samodzielna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Suma kontrolna w nagłówku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obecna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brak</w:t>
            </w:r>
          </w:p>
        </w:tc>
      </w:tr>
      <w:tr>
        <w:trPr/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insideH w:val="nil"/>
            </w:tcBorders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Zarządzanie grupami multicastowymi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bottom w:val="nil"/>
              <w:right w:val="single" w:sz="4" w:space="0" w:color="7F7F7F"/>
              <w:insideH w:val="nil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IGMP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bottom w:val="nil"/>
              <w:right w:val="single" w:sz="4" w:space="0" w:color="7F7F7F"/>
              <w:insideH w:val="nil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MLD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Ramki zgłoszeń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ARP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Brak ARP</w:t>
            </w:r>
          </w:p>
        </w:tc>
      </w:tr>
      <w:tr>
        <w:trPr/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  <w:bottom w:val="nil"/>
              <w:insideH w:val="nil"/>
            </w:tcBorders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Rozszerzenia nagłówków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bottom w:val="nil"/>
              <w:right w:val="single" w:sz="4" w:space="0" w:color="7F7F7F"/>
              <w:insideH w:val="nil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brak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bottom w:val="nil"/>
              <w:right w:val="single" w:sz="4" w:space="0" w:color="7F7F7F"/>
              <w:insideH w:val="nil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>Nagłówek rozszerzalny o nagłówki protokołów warstw wyższych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Zmienione pola nagłówków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ascii="Calibri" w:hAnsi="Calibri" w:asciiTheme="minorHAnsi" w:cstheme="minorHAnsi" w:hAnsiTheme="minorHAnsi"/>
                <w:lang w:val="en-US"/>
              </w:rPr>
              <w:t>TOS, total length, Protocol, TTL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ascii="Calibri" w:hAnsi="Calibri" w:asciiTheme="minorHAnsi" w:cstheme="minorHAnsi" w:hAnsiTheme="minorHAnsi"/>
                <w:lang w:val="en-US"/>
              </w:rPr>
              <w:t>Traffic class, Payload length, Next header, Hop limit</w:t>
            </w:r>
          </w:p>
        </w:tc>
      </w:tr>
      <w:tr>
        <w:trPr/>
        <w:tc>
          <w:tcPr>
            <w:tcW w:w="302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nil"/>
            </w:tcBorders>
            <w:shd w:color="auto" w:fill="FFD966" w:themeFill="accent4" w:themeFillTint="99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</w:rPr>
              <w:t>Typy adresów</w:t>
            </w:r>
          </w:p>
        </w:tc>
        <w:tc>
          <w:tcPr>
            <w:tcW w:w="3021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ascii="Calibri" w:hAnsi="Calibri" w:asciiTheme="minorHAnsi" w:cstheme="minorHAnsi" w:hAnsiTheme="minorHAnsi"/>
                <w:lang w:val="en-US"/>
              </w:rPr>
              <w:t>Unicast, multicast, broadcast</w:t>
            </w:r>
          </w:p>
        </w:tc>
        <w:tc>
          <w:tcPr>
            <w:tcW w:w="3021" w:type="dxa"/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Borders>
              <w:top w:val="nil"/>
              <w:left w:val="single" w:sz="4" w:space="0" w:color="7F7F7F"/>
              <w:right w:val="single" w:sz="4" w:space="0" w:color="7F7F7F"/>
              <w:insideV w:val="single" w:sz="4" w:space="0" w:color="7F7F7F"/>
            </w:tcBorders>
            <w:shd w:fill="auto" w:val="clear"/>
          </w:tcPr>
          <w:p>
            <w:pPr>
              <w:pStyle w:val="ListParagraph"/>
              <w:spacing w:lineRule="auto" w:line="240" w:before="0" w:after="0"/>
              <w:ind w:left="0" w:hanging="0"/>
              <w:contextualSpacing/>
              <w:jc w:val="center"/>
              <w:rPr>
                <w:rFonts w:ascii="Calibri" w:hAnsi="Calibri" w:cs="Calibri" w:asciiTheme="minorHAnsi" w:cstheme="minorHAnsi" w:hAnsiTheme="minorHAnsi"/>
                <w:lang w:val="en-US"/>
              </w:rPr>
            </w:pPr>
            <w:r>
              <w:rPr>
                <w:rFonts w:cs="Calibri" w:ascii="Calibri" w:hAnsi="Calibri" w:asciiTheme="minorHAnsi" w:cstheme="minorHAnsi" w:hAnsiTheme="minorHAnsi"/>
                <w:lang w:val="en-US"/>
              </w:rPr>
              <w:t>Unicast, Multicast, Anycast</w:t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lang w:val="en-US"/>
        </w:rPr>
      </w:pPr>
      <w:r>
        <w:rPr>
          <w:rFonts w:cs="Calibri" w:cstheme="minorHAnsi" w:ascii="Calibri" w:hAnsi="Calibri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>Wymień kluczowe elementy bezpieczeństwa realizowane przez IPsec.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IPSec stanowi połączenie kilku różnych technologii zabezpieczeń, dzięki czemu tworzy pełny system chroniący dane. W szczególności IPSec używa:</w:t>
      </w:r>
    </w:p>
    <w:p>
      <w:pPr>
        <w:pStyle w:val="ListParagraph"/>
        <w:numPr>
          <w:ilvl w:val="0"/>
          <w:numId w:val="5"/>
        </w:numPr>
        <w:shd w:val="clear" w:color="auto" w:fill="FFFFFF"/>
        <w:spacing w:before="0" w:after="150"/>
        <w:contextualSpacing/>
        <w:rPr>
          <w:rFonts w:ascii="Calibri" w:hAnsi="Calibri" w:cs="Calibri" w:asciiTheme="minorHAnsi" w:cstheme="minorHAnsi" w:hAnsiTheme="minorHAnsi"/>
          <w:color w:val="444342"/>
        </w:rPr>
      </w:pPr>
      <w:r>
        <w:rPr>
          <w:rFonts w:cs="Calibri" w:ascii="Calibri" w:hAnsi="Calibri" w:asciiTheme="minorHAnsi" w:cstheme="minorHAnsi" w:hAnsiTheme="minorHAnsi"/>
        </w:rPr>
        <w:t>Klucza wymiany Diffie-Hellmana dla tworzenia kodów pomiędzy węzłami połączonymi siecią publiczną</w:t>
      </w:r>
    </w:p>
    <w:p>
      <w:pPr>
        <w:pStyle w:val="ListParagraph"/>
        <w:numPr>
          <w:ilvl w:val="0"/>
          <w:numId w:val="5"/>
        </w:numPr>
        <w:shd w:val="clear" w:color="auto" w:fill="FFFFFF"/>
        <w:spacing w:before="0" w:after="150"/>
        <w:contextualSpacing/>
        <w:rPr>
          <w:rFonts w:ascii="Calibri" w:hAnsi="Calibri" w:cs="Calibri" w:asciiTheme="minorHAnsi" w:cstheme="minorHAnsi" w:hAnsiTheme="minorHAnsi"/>
          <w:color w:val="444342"/>
        </w:rPr>
      </w:pPr>
      <w:r>
        <w:rPr>
          <w:rFonts w:cs="Calibri" w:ascii="Calibri" w:hAnsi="Calibri" w:asciiTheme="minorHAnsi" w:cstheme="minorHAnsi" w:hAnsiTheme="minorHAnsi"/>
          <w:color w:val="000000" w:themeColor="text1"/>
        </w:rPr>
        <w:t xml:space="preserve">Szyfrowania klucza publicznego przez potwierdzanie algorytmów </w:t>
      </w:r>
      <w:r>
        <w:rPr>
          <w:rFonts w:cs="Calibri" w:ascii="Calibri" w:hAnsi="Calibri" w:asciiTheme="minorHAnsi" w:cstheme="minorHAnsi" w:hAnsiTheme="minorHAnsi"/>
        </w:rPr>
        <w:t>Diffie-Hellmana co gwarantuje identyczność każdej z dwóch części i chroni przed atakiem typu man-in-the-middle</w:t>
      </w:r>
    </w:p>
    <w:p>
      <w:pPr>
        <w:pStyle w:val="ListParagraph"/>
        <w:numPr>
          <w:ilvl w:val="0"/>
          <w:numId w:val="5"/>
        </w:numPr>
        <w:shd w:val="clear" w:color="auto" w:fill="FFFFFF"/>
        <w:spacing w:before="0" w:after="150"/>
        <w:contextualSpacing/>
        <w:rPr>
          <w:rFonts w:ascii="Calibri" w:hAnsi="Calibri" w:cs="Calibri" w:asciiTheme="minorHAnsi" w:cstheme="minorHAnsi" w:hAnsiTheme="minorHAnsi"/>
          <w:color w:val="444342"/>
        </w:rPr>
      </w:pPr>
      <w:r>
        <w:rPr>
          <w:rFonts w:cs="Calibri" w:ascii="Calibri" w:hAnsi="Calibri" w:asciiTheme="minorHAnsi" w:cstheme="minorHAnsi" w:hAnsiTheme="minorHAnsi"/>
          <w:color w:val="000000" w:themeColor="text1"/>
        </w:rPr>
        <w:t>Stosowania algorytmów szyfrowania danych typu DES</w:t>
      </w:r>
    </w:p>
    <w:p>
      <w:pPr>
        <w:pStyle w:val="ListParagraph"/>
        <w:numPr>
          <w:ilvl w:val="0"/>
          <w:numId w:val="5"/>
        </w:numPr>
        <w:shd w:val="clear" w:color="auto" w:fill="FFFFFF"/>
        <w:spacing w:before="0" w:after="150"/>
        <w:contextualSpacing/>
        <w:rPr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Fonts w:cs="Calibri" w:ascii="Calibri" w:hAnsi="Calibri" w:asciiTheme="minorHAnsi" w:cstheme="minorHAnsi" w:hAnsiTheme="minorHAnsi"/>
          <w:color w:val="000000" w:themeColor="text1"/>
        </w:rPr>
        <w:t>Stosowania kluczowych algorytmów funkcji skrótu, takich jak HMAC, łącznie z tradycjami algorytmami typu MD5 lub SHA, w celu uwierzytelniania pakietu.</w:t>
      </w:r>
    </w:p>
    <w:p>
      <w:pPr>
        <w:pStyle w:val="ListParagraph"/>
        <w:numPr>
          <w:ilvl w:val="0"/>
          <w:numId w:val="5"/>
        </w:numPr>
        <w:shd w:val="clear" w:color="auto" w:fill="FFFFFF"/>
        <w:spacing w:before="0" w:after="150"/>
        <w:contextualSpacing/>
        <w:rPr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Fonts w:cs="Calibri" w:ascii="Calibri" w:hAnsi="Calibri" w:asciiTheme="minorHAnsi" w:cstheme="minorHAnsi" w:hAnsiTheme="minorHAnsi"/>
          <w:color w:val="000000" w:themeColor="text1"/>
        </w:rPr>
        <w:t>Cyfrowych certyfikatów potwierdzanych przez certyfikaty autoryzacyjne takie jak cyfrowe karty ID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A na innej stronie piszą tak: 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IPSec stosuje przede wszystkim: 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Ochronę poufności poprzez szyfrowanie informacji. 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Ochronę integralności poprzez zabezpieczenie informacji kryptograficzną sumą kontrolną (message authentication). 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 </w:t>
      </w:r>
      <w:r>
        <w:rPr>
          <w:rFonts w:cs="Calibri" w:ascii="Calibri" w:hAnsi="Calibri" w:asciiTheme="minorHAnsi" w:cstheme="minorHAnsi" w:hAnsiTheme="minorHAnsi"/>
        </w:rPr>
        <w:t xml:space="preserve">Zabezpieczenie przed niektórymi typami ataków sieciowych, np. przed odtworzeniem ruchu (replay attacks). </w:t>
      </w:r>
    </w:p>
    <w:p>
      <w:pPr>
        <w:pStyle w:val="ListParagraph"/>
        <w:numPr>
          <w:ilvl w:val="0"/>
          <w:numId w:val="6"/>
        </w:numPr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Zdolność do negocjacji algorytmów ochrony ruchu oraz kluczy wykorzystywanych w komunikacji między parami urządzeń.</w:t>
      </w:r>
    </w:p>
    <w:p>
      <w:pPr>
        <w:pStyle w:val="ListParagraph"/>
        <w:shd w:val="clear" w:color="auto" w:fill="FFFFFF"/>
        <w:spacing w:before="0" w:after="150"/>
        <w:ind w:left="1440" w:hanging="0"/>
        <w:contextualSpacing/>
        <w:rPr>
          <w:rFonts w:ascii="Calibri" w:hAnsi="Calibri" w:cs="Calibri" w:asciiTheme="minorHAnsi" w:cstheme="minorHAnsi" w:hAnsiTheme="minorHAnsi"/>
          <w:color w:val="000000" w:themeColor="text1"/>
        </w:rPr>
      </w:pPr>
      <w:r>
        <w:rPr>
          <w:rFonts w:cs="Calibri" w:cstheme="minorHAnsi" w:ascii="Calibri" w:hAnsi="Calibri"/>
          <w:color w:val="000000" w:themeColor="text1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 xml:space="preserve">Podaj przykłady wykorzystania atrybutu </w:t>
      </w:r>
      <w:r>
        <w:rPr>
          <w:rFonts w:cs="Calibri" w:ascii="Calibri" w:hAnsi="Calibri" w:asciiTheme="minorHAnsi" w:cstheme="minorHAnsi" w:hAnsiTheme="minorHAnsi"/>
          <w:b/>
          <w:i/>
        </w:rPr>
        <w:t>Local Preference</w:t>
      </w:r>
      <w:r>
        <w:rPr>
          <w:rFonts w:cs="Calibri" w:ascii="Calibri" w:hAnsi="Calibri" w:asciiTheme="minorHAnsi" w:cstheme="minorHAnsi" w:hAnsiTheme="minorHAnsi"/>
          <w:b/>
        </w:rPr>
        <w:t>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LOCAL_PREF używany jest przez router BGP do </w:t>
      </w:r>
      <w:r>
        <w:rPr>
          <w:rFonts w:cs="Calibri" w:ascii="Calibri" w:hAnsi="Calibri" w:asciiTheme="minorHAnsi" w:cstheme="minorHAnsi" w:hAnsiTheme="minorHAnsi"/>
          <w:highlight w:val="yellow"/>
        </w:rPr>
        <w:t>informowania jego IBGP peers o stopniu preferencji dla rozgłaszanej trasy</w:t>
      </w:r>
      <w:r>
        <w:rPr>
          <w:rFonts w:cs="Calibri" w:ascii="Calibri" w:hAnsi="Calibri" w:asciiTheme="minorHAnsi" w:cstheme="minorHAnsi" w:hAnsiTheme="minorHAnsi"/>
        </w:rPr>
        <w:t>. Używane do zmuszenia IBGP peers do wyboru jednego z punktów wyjścia w kierunki określonej sieci docelowej. W przeciwieństwie do MED, im wyższa wartość LOCAL_PREF, tym bardziej preferowana trasa.</w:t>
      </w:r>
      <w:r>
        <w:rPr>
          <w:rFonts w:cs="Calibri" w:ascii="Calibri" w:hAnsi="Calibri" w:asciiTheme="minorHAnsi" w:cstheme="minorHAnsi" w:hAnsiTheme="minorHAnsi"/>
          <w:color w:val="000000" w:themeColor="text1"/>
          <w:shd w:fill="FFFFFF" w:val="clear"/>
        </w:rPr>
        <w:t xml:space="preserve"> LOCAL_PREF</w:t>
      </w:r>
      <w:r>
        <w:rPr>
          <w:rFonts w:cs="Calibri" w:ascii="Calibri" w:hAnsi="Calibri" w:asciiTheme="minorHAnsi" w:cstheme="minorHAnsi" w:hAnsiTheme="minorHAnsi"/>
          <w:color w:val="000000" w:themeColor="text1"/>
          <w:shd w:fill="FFFFFF" w:val="clear"/>
        </w:rPr>
        <w:t> </w:t>
      </w:r>
      <w:r>
        <w:rPr>
          <w:rFonts w:cs="Calibri" w:ascii="Calibri" w:hAnsi="Calibri" w:asciiTheme="minorHAnsi" w:cstheme="minorHAnsi" w:hAnsiTheme="minorHAnsi"/>
          <w:color w:val="000000" w:themeColor="text1"/>
          <w:shd w:fill="FFFFFF" w:val="clear"/>
        </w:rPr>
        <w:t>jest przekazywany tylko i wyłącznie pomiędzy routerami BGP wewnątrz AS.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0"/>
          <w:numId w:val="2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 xml:space="preserve">Podaj przykłady wykorzystania atrybutu </w:t>
      </w:r>
      <w:r>
        <w:rPr>
          <w:rFonts w:cs="Calibri" w:ascii="Calibri" w:hAnsi="Calibri" w:asciiTheme="minorHAnsi" w:cstheme="minorHAnsi" w:hAnsiTheme="minorHAnsi"/>
          <w:b/>
          <w:i/>
        </w:rPr>
        <w:t>MED.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Atrybut MED, </w:t>
      </w:r>
      <w:r>
        <w:rPr>
          <w:rFonts w:cs="Calibri" w:ascii="Calibri" w:hAnsi="Calibri" w:asciiTheme="minorHAnsi" w:cstheme="minorHAnsi" w:hAnsiTheme="minorHAnsi"/>
          <w:highlight w:val="yellow"/>
        </w:rPr>
        <w:t>określa preferowaną trasę, z której zewnętrzne systemy autonomiczne powinny korzystać w komunikacji z lokalnym AS, zawierającym wiele punktów wejściowych.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Jest on wymieniany pomiędzy systemami autonomicznymi. MED może być użyty przez AS do wpływania na decyzje odnośnie interfejsów wyjściowych innego AS.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  <w:sz w:val="48"/>
          <w:szCs w:val="48"/>
        </w:rPr>
      </w:pPr>
      <w:r>
        <w:rPr>
          <w:rFonts w:cs="Calibri" w:ascii="Calibri" w:hAnsi="Calibri" w:asciiTheme="minorHAnsi" w:cstheme="minorHAnsi" w:hAnsiTheme="minorHAnsi"/>
          <w:sz w:val="48"/>
          <w:szCs w:val="48"/>
        </w:rPr>
        <w:t>Drugi termin:</w:t>
        <w:br/>
      </w:r>
    </w:p>
    <w:p>
      <w:pPr>
        <w:pStyle w:val="ListParagraph"/>
        <w:numPr>
          <w:ilvl w:val="0"/>
          <w:numId w:val="1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>Co to jest interfejs pasywny i po co się go stosuje?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spacing w:lineRule="auto" w:line="276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Interfejs pasywny zapobiega wysyłaniu i odbieraniu aktualizacji routingu:</w:t>
      </w:r>
    </w:p>
    <w:p>
      <w:pPr>
        <w:pStyle w:val="ListParagraph"/>
        <w:spacing w:lineRule="auto" w:line="276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 xml:space="preserve">RIP: interfejs nasłuchuje (odbiera) ale nie wysyła aktualizacji routingu. </w:t>
      </w:r>
    </w:p>
    <w:p>
      <w:pPr>
        <w:pStyle w:val="ListParagraph"/>
        <w:spacing w:lineRule="auto" w:line="276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spacing w:lineRule="auto" w:line="276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OSPF: interfejs ani nie nasłuchuje ani nie wysyła aktualizacji; brak możliwość ustanowienia sąsiedztwa. Adres sieci dołączonej do interfejsu pasywnego pojawia się jako sieć szczątkowa (stub) w domenie OSPF</w:t>
      </w:r>
    </w:p>
    <w:p>
      <w:pPr>
        <w:pStyle w:val="ListParagraph"/>
        <w:spacing w:lineRule="auto" w:line="276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spacing w:lineRule="auto" w:line="276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• </w:t>
      </w:r>
      <w:r>
        <w:rPr>
          <w:rFonts w:cs="Calibri" w:ascii="Calibri" w:hAnsi="Calibri" w:asciiTheme="minorHAnsi" w:cstheme="minorHAnsi" w:hAnsiTheme="minorHAnsi"/>
        </w:rPr>
        <w:t>EIGRP: Router nie wysyła pakietów hello przez interfejsy pasywne. Router EIGRP nie może zatem ustanowić relacji przylegania na tym interfejsie i co za tym idzie, ani wysyłać, ani odbierać uaktualnień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>Co to jest route map i po co się stosuje + zastosowanie ACL w nich:</w:t>
        <w:br/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Mapy tras (Route Maps) stanowią narzędzie pozwalające zarówno na filtrowanie ruchu, jak również manipulowanie trasami BGP.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 xml:space="preserve">Instrukcje w mapach tras możemy podzielić na 2 części: 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 xml:space="preserve">Instrukcje warunkowe 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 xml:space="preserve">Zdarzenia przypisane do instrukcji 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Jeżeli przy sprawdzaniu listy któryś z warunków okaże się być spełniony, zostanie wykonane zdarzenie które było do niego przypisane.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Zastąpienie routingu dynamicznego: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Na styku LAN z WAN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Wewnątrz AS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Głównie pomiędzy AS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Zastosowanie: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Podobne do ACL, lepsza kontrola nad procesem routingu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Filtrowanie tras podczas redystrybucji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 xml:space="preserve">W NAT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Mapy routingu dostarczają lepszej kontroli nad procesem translacji adresów. 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 xml:space="preserve">W BGP </w:t>
      </w:r>
      <w:r>
        <w:rPr>
          <w:rFonts w:eastAsia="Wingdings" w:cs="Wingdings" w:ascii="Wingdings" w:hAnsi="Wingdings"/>
        </w:rPr>
        <w:t></w:t>
      </w:r>
      <w:r>
        <w:rPr>
          <w:rFonts w:cs="Calibri" w:ascii="Calibri" w:hAnsi="Calibri" w:asciiTheme="minorHAnsi" w:cstheme="minorHAnsi" w:hAnsiTheme="minorHAnsi"/>
        </w:rPr>
        <w:t xml:space="preserve"> Mapy routingu są podstawowym narzędziem do implementacji polityk w protokole BGP. 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>Praktyczne zastosowanie list dystrybucyjnych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360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Listy dystrybucyjne stanowią efektywne narzędzie pozwalające zdecydować jaki ruch ma być dopuszczany, a jaki blokowany przez router. Bazują na informacji o adresach podsieci. Działanie list dystrybucyjnych, opiera się na stworzeniu list dostępu (access list), lub rozszerzonych list dostępu (extended al).</w:t>
      </w:r>
    </w:p>
    <w:p>
      <w:pPr>
        <w:pStyle w:val="Normal"/>
        <w:ind w:left="360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left="360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Zastosowanie list dostępu do tworzenia list dystrybucyjnych jest ich główną wadą, ze względu na małą elastyczność access list – konieczność ich usuwania i ponownej rekonfiguracji przy każdej wprowadzonej zmianie.</w:t>
      </w:r>
    </w:p>
    <w:p>
      <w:pPr>
        <w:pStyle w:val="Normal"/>
        <w:ind w:left="360" w:hanging="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 xml:space="preserve">Użycie list dystrybucyjnych: 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 xml:space="preserve">Zapewnia nadzór nad wysyłanymi i odbieranymi przez RIP uaktualnieniami 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Listy dystrybucyjne do unikania sprzężenia tras</w:t>
      </w:r>
    </w:p>
    <w:p>
      <w:pPr>
        <w:pStyle w:val="Normal"/>
        <w:ind w:left="708" w:hanging="0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 xml:space="preserve">Listy dystrybucyjne pomagają wyeliminować „sprzężenia zwrotne” tras oraz pętle routingu (Sprzężenie zwrotne tras występuje, gdy trasa uzyskana oryginalnie z jednego protokołu routingu jest redystrybuowana z powrotem do tego protokołu routingu) Warunek wystąpienia – skonfigurowany dodatkowy punkt redystrybucji  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 xml:space="preserve">Lista dystrybucyjna ukrywa informacje o pewnych sieciach 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W sieciach z trasami redundantnymi mogą zapobiegać powstaniu pętli routingu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•</w:t>
      </w:r>
      <w:r>
        <w:rPr>
          <w:rFonts w:cs="Calibri" w:ascii="Calibri" w:hAnsi="Calibri" w:asciiTheme="minorHAnsi" w:cstheme="minorHAnsi" w:hAnsiTheme="minorHAnsi"/>
        </w:rPr>
        <w:t>Znakowanie tras we współpracy z listami dystrybucyjnymi</w:t>
      </w:r>
    </w:p>
    <w:p>
      <w:pPr>
        <w:pStyle w:val="Normal"/>
        <w:ind w:firstLine="708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Calibri" w:asciiTheme="minorHAnsi" w:cstheme="minorHAnsi" w:hAnsiTheme="minorHAnsi"/>
          <w:b/>
          <w:b/>
        </w:rPr>
      </w:pPr>
      <w:r>
        <w:rPr>
          <w:rFonts w:cs="Calibri" w:ascii="Calibri" w:hAnsi="Calibri" w:asciiTheme="minorHAnsi" w:cstheme="minorHAnsi" w:hAnsiTheme="minorHAnsi"/>
          <w:b/>
        </w:rPr>
        <w:t>Redystrybucja do OSPF i jaka metryka dla OSPF i jak zmienić metrykę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ascii="Calibri" w:hAnsi="Calibri" w:asciiTheme="minorHAnsi" w:cstheme="minorHAnsi" w:hAnsiTheme="minorHAnsi"/>
        </w:rPr>
        <w:t>Proces wymiany informacji routingowych pomiędzy protokołami routingu nazywa się redystrybucją tras.</w:t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cstheme="minorHAnsi" w:ascii="Calibri" w:hAnsi="Calibri"/>
          <w:b/>
          <w:sz w:val="36"/>
          <w:szCs w:val="36"/>
        </w:rPr>
      </w:r>
    </w:p>
    <w:p>
      <w:pPr>
        <w:pStyle w:val="ListParagraph"/>
        <w:jc w:val="center"/>
        <w:rPr>
          <w:rFonts w:ascii="Calibri" w:hAnsi="Calibri" w:cs="Calibri" w:asciiTheme="minorHAnsi" w:cstheme="minorHAnsi" w:hAnsiTheme="minorHAnsi"/>
          <w:b/>
          <w:b/>
          <w:sz w:val="36"/>
          <w:szCs w:val="36"/>
        </w:rPr>
      </w:pPr>
      <w:r>
        <w:rPr>
          <w:rFonts w:cs="Calibri" w:ascii="Calibri" w:hAnsi="Calibri" w:asciiTheme="minorHAnsi" w:cstheme="minorHAnsi" w:hAnsiTheme="minorHAnsi"/>
          <w:b/>
          <w:sz w:val="36"/>
          <w:szCs w:val="36"/>
        </w:rPr>
        <w:t>ATRYBUTY BGP</w:t>
      </w:r>
    </w:p>
    <w:p>
      <w:pPr>
        <w:pStyle w:val="Normal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cs="Calibri" w:cstheme="minorHAnsi" w:ascii="Calibri" w:hAnsi="Calibri"/>
          <w:sz w:val="28"/>
          <w:szCs w:val="28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LOCAL_PREF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używany jest przez router BGP do informowania jego IBGP peers o stopniu preferencji dla rozgłaszanej trasy. Używane do zmuszenia IBGP peers do wyboru jednego z punktów wyjścia w kierunki określonej sieci docelowej. W przeciwieństwie do MED, im wyższa wartość LOCAL_PREF, tym bardziej preferowana trasa.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shd w:fill="FFFFFF" w:val="clear"/>
        </w:rPr>
        <w:t xml:space="preserve"> LOCAL_PREF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shd w:fill="FFFFFF" w:val="clear"/>
        </w:rPr>
        <w:t> </w:t>
      </w:r>
      <w:r>
        <w:rPr>
          <w:rFonts w:cs="Calibri" w:ascii="Calibri" w:hAnsi="Calibri" w:asciiTheme="minorHAnsi" w:cstheme="minorHAnsi" w:hAnsiTheme="minorHAnsi"/>
          <w:color w:val="000000" w:themeColor="text1"/>
          <w:sz w:val="22"/>
          <w:szCs w:val="22"/>
          <w:shd w:fill="FFFFFF" w:val="clear"/>
        </w:rPr>
        <w:t>jest przekazywany tylko i wyłącznie pomiędzy routerami BGP wewnątrz AS.</w:t>
      </w:r>
    </w:p>
    <w:p>
      <w:pPr>
        <w:pStyle w:val="ListParagraph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MED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określa preferowaną trasę, z której zewnętrzne systemy autonomiczne powinny korzystać w komunikacji z lokalnym AS, zawierającym wiele punktów wejściowych. Jest on wymieniany pomiędzy systemami autonomicznymi. MED może być użyty przez AS do wpływania na decyzje odnośnie interfejsów wyjściowych innego AS.</w:t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ORIGIN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Określa w jaki sposób router rozgłaszający daną trasę dowiedział się o niej. BGP wykorzystuje ORIGIN przy podejmowaniu decyzji o wprowadzeniu trasy do tablicy routingu, preferując trasy o niższych wartościach ORIGIN. Ma długość 1 bajt.</w:t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AS_PATH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Sekwencja numerów AS, przez które przechodzi trasa do momentu osiągnięcia punktu docelowego.</w:t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NEXT_HOP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Definiuje adres IP routera brzegowego, który powinien być użyty jako następny skok. Dla eBGP będzie on adresem IP routera, który ogłosił trasę. NEXT_HOP nie musi być osiągalny przez bezpośrednie połączenie.</w:t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AUTOMIC_AGGREGATE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Umożliwia ruterowi BGP poinformowanie BGP peers, że informacje o wielu sieciach docelowych zgrupowano w jedno uaktualnienie.</w:t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AGGREGATOR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W czasie konfiguracji agregacji adresów, można wymusić, aby router łącznie z trasą supersieci przesyłał także swoje ID i lokalny numer AS. Atrybut ten umożliwia administratorom ISP określić, który router BGP jest odpowiedzialny za konkretny przypadek agregacji, co pozwala na szybsze znalezienie błędów.</w:t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WEIGHT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Preferowane są ścieżki o wyższej wartości weight. Atrybut nie jest przekazywany do żadnego z sąsiadów. Ma on znaczenie lokalne w obrębie routera.</w:t>
      </w:r>
    </w:p>
    <w:p>
      <w:pPr>
        <w:pStyle w:val="ListParagraph"/>
        <w:rPr>
          <w:rFonts w:ascii="Calibri" w:hAnsi="Calibri" w:cs="Calibri" w:asciiTheme="minorHAnsi" w:cstheme="minorHAnsi" w:hAnsiTheme="minorHAnsi"/>
          <w:sz w:val="22"/>
          <w:szCs w:val="22"/>
        </w:rPr>
      </w:pPr>
      <w:r>
        <w:rPr>
          <w:rFonts w:cs="Calibri" w:cstheme="minorHAnsi"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cs="Calibri" w:asciiTheme="minorHAnsi" w:cstheme="minorHAnsi" w:hAnsiTheme="minorHAnsi"/>
          <w:sz w:val="22"/>
          <w:szCs w:val="22"/>
        </w:rPr>
      </w:pPr>
      <w:bookmarkStart w:id="0" w:name="_GoBack"/>
      <w:bookmarkEnd w:id="0"/>
      <w:r>
        <w:rPr>
          <w:rFonts w:cs="Calibri" w:ascii="Calibri" w:hAnsi="Calibri" w:asciiTheme="minorHAnsi" w:cstheme="minorHAnsi" w:hAnsiTheme="minorHAnsi"/>
          <w:sz w:val="22"/>
          <w:szCs w:val="22"/>
          <w:highlight w:val="yellow"/>
        </w:rPr>
        <w:t>NOTIFICATION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</w:t>
      </w:r>
      <w:r>
        <w:rPr>
          <w:rFonts w:eastAsia="Wingdings" w:cs="Wingdings" w:ascii="Wingdings" w:hAnsi="Wingdings"/>
          <w:sz w:val="22"/>
          <w:szCs w:val="22"/>
        </w:rPr>
        <w:t></w:t>
      </w:r>
      <w:r>
        <w:rPr>
          <w:rFonts w:cs="Calibri" w:ascii="Calibri" w:hAnsi="Calibri" w:asciiTheme="minorHAnsi" w:cstheme="minorHAnsi" w:hAnsiTheme="minorHAnsi"/>
          <w:sz w:val="22"/>
          <w:szCs w:val="22"/>
        </w:rPr>
        <w:t xml:space="preserve"> Wiadomość generowana po każdorazowym wystąpieniu błędu. Powoduje zerwanie sesji – relacji równorzędności.</w:t>
      </w:r>
    </w:p>
    <w:p>
      <w:pPr>
        <w:pStyle w:val="ListParagraph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Times New Roman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Wingdings">
    <w:charset w:val="0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bullet"/>
      <w:lvlText w:val=""/>
      <w:lvlJc w:val="left"/>
      <w:pPr>
        <w:ind w:left="148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2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4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8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0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4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ind w:left="142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2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6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2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2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2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182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l-PL" w:eastAsia="en-US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a02ae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pl-PL" w:val="pl-P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yrnienie">
    <w:name w:val="Wyróżnienie"/>
    <w:basedOn w:val="DefaultParagraphFont"/>
    <w:uiPriority w:val="20"/>
    <w:qFormat/>
    <w:rsid w:val="00e852e8"/>
    <w:rPr>
      <w:i/>
      <w:iCs/>
    </w:rPr>
  </w:style>
  <w:style w:type="character" w:styleId="TekstdymkaZnak" w:customStyle="1">
    <w:name w:val="Tekst dymka Znak"/>
    <w:basedOn w:val="DefaultParagraphFont"/>
    <w:link w:val="Tekstdymka"/>
    <w:uiPriority w:val="99"/>
    <w:semiHidden/>
    <w:qFormat/>
    <w:rsid w:val="00810f35"/>
    <w:rPr>
      <w:rFonts w:ascii="Times New Roman" w:hAnsi="Times New Roman" w:eastAsia="Times New Roman" w:cs="Times New Roman"/>
      <w:sz w:val="18"/>
      <w:szCs w:val="18"/>
      <w:lang w:eastAsia="pl-PL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ucida Sans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7537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152d3e"/>
    <w:pPr>
      <w:spacing w:beforeAutospacing="1" w:afterAutospacing="1"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810f35"/>
    <w:pPr/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da0a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Zwykatabela5">
    <w:name w:val="Plain Table 5"/>
    <w:basedOn w:val="Standardowy"/>
    <w:uiPriority w:val="45"/>
    <w:rsid w:val="00703be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atki1jasna">
    <w:name w:val="Grid Table 1 Light"/>
    <w:basedOn w:val="Standardowy"/>
    <w:uiPriority w:val="46"/>
    <w:rsid w:val="00703be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Zwykatabela4">
    <w:name w:val="Plain Table 4"/>
    <w:basedOn w:val="Standardowy"/>
    <w:uiPriority w:val="44"/>
    <w:rsid w:val="00703b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Zwykatabela2">
    <w:name w:val="Plain Table 2"/>
    <w:basedOn w:val="Standardowy"/>
    <w:uiPriority w:val="42"/>
    <w:rsid w:val="00703be5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Zwykatabela3">
    <w:name w:val="Plain Table 3"/>
    <w:basedOn w:val="Standardowy"/>
    <w:uiPriority w:val="43"/>
    <w:rsid w:val="00703be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LibreOffice/6.1.3.2$Windows_x86 LibreOffice_project/86daf60bf00efa86ad547e59e09d6bb77c699acb</Application>
  <Pages>6</Pages>
  <Words>1457</Words>
  <Characters>9143</Characters>
  <CharactersWithSpaces>10467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2019-01-21T01:35:00Z</dcterms:created>
  <dc:creator/>
  <dc:description/>
  <dc:language>pl-PL</dc:language>
  <cp:lastModifiedBy/>
  <cp:lastPrinted>2019-01-21T01:35:00Z</cp:lastPrinted>
  <dcterms:modified xsi:type="dcterms:W3CDTF">2020-02-02T09:51:38Z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