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12091" w14:textId="77777777" w:rsidR="008C0A79" w:rsidRDefault="00000000">
      <w:pPr>
        <w:spacing w:line="256" w:lineRule="auto"/>
        <w:jc w:val="center"/>
        <w:rPr>
          <w:rFonts w:ascii="Times New Roman" w:eastAsia="Times New Roman" w:hAnsi="Times New Roman" w:cs="Times New Roman"/>
          <w:b/>
          <w:bCs/>
          <w:sz w:val="32"/>
          <w:szCs w:val="32"/>
        </w:rPr>
      </w:pPr>
      <w:r>
        <w:rPr>
          <w:sz w:val="32"/>
          <w:szCs w:val="32"/>
        </w:rPr>
        <w:t xml:space="preserve">  </w:t>
      </w:r>
      <w:r>
        <w:rPr>
          <w:rFonts w:ascii="Times New Roman" w:eastAsia="Times New Roman" w:hAnsi="Times New Roman" w:cs="Times New Roman"/>
          <w:b/>
          <w:bCs/>
          <w:sz w:val="32"/>
          <w:szCs w:val="32"/>
        </w:rPr>
        <w:t xml:space="preserve">Time Series Forecasting </w:t>
      </w:r>
      <w:proofErr w:type="gramStart"/>
      <w:r>
        <w:rPr>
          <w:rFonts w:ascii="Times New Roman" w:eastAsia="Times New Roman" w:hAnsi="Times New Roman" w:cs="Times New Roman"/>
          <w:b/>
          <w:bCs/>
          <w:sz w:val="32"/>
          <w:szCs w:val="32"/>
        </w:rPr>
        <w:t>For</w:t>
      </w:r>
      <w:proofErr w:type="gramEnd"/>
      <w:r>
        <w:rPr>
          <w:rFonts w:ascii="Times New Roman" w:eastAsia="Times New Roman" w:hAnsi="Times New Roman" w:cs="Times New Roman"/>
          <w:b/>
          <w:bCs/>
          <w:sz w:val="32"/>
          <w:szCs w:val="32"/>
        </w:rPr>
        <w:t xml:space="preserve"> Predicting Long-Term Gold Price</w:t>
      </w:r>
    </w:p>
    <w:p w14:paraId="7E5B54CE" w14:textId="77777777" w:rsidR="008C0A79" w:rsidRDefault="008C0A79">
      <w:pPr>
        <w:spacing w:line="257" w:lineRule="auto"/>
        <w:rPr>
          <w:sz w:val="21"/>
          <w:szCs w:val="21"/>
        </w:rPr>
      </w:pPr>
    </w:p>
    <w:p w14:paraId="10D1660A" w14:textId="77777777" w:rsidR="008C0A79" w:rsidRDefault="00000000">
      <w:pPr>
        <w:spacing w:before="69" w:line="19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Submitted by</w:t>
      </w:r>
    </w:p>
    <w:p w14:paraId="4C444335" w14:textId="77777777" w:rsidR="008C0A79" w:rsidRDefault="008C0A79">
      <w:pPr>
        <w:spacing w:line="272" w:lineRule="auto"/>
        <w:rPr>
          <w:sz w:val="21"/>
          <w:szCs w:val="21"/>
        </w:rPr>
      </w:pPr>
    </w:p>
    <w:p w14:paraId="71D31D38" w14:textId="77777777" w:rsidR="008C0A79" w:rsidRDefault="00000000">
      <w:pPr>
        <w:spacing w:before="69" w:line="213" w:lineRule="auto"/>
        <w:ind w:left="4216" w:right="3056" w:hanging="751"/>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Joyston</w:t>
      </w:r>
      <w:proofErr w:type="spellEnd"/>
      <w:r>
        <w:rPr>
          <w:rFonts w:ascii="Times New Roman" w:eastAsia="Times New Roman" w:hAnsi="Times New Roman" w:cs="Times New Roman"/>
          <w:b/>
          <w:bCs/>
          <w:sz w:val="24"/>
          <w:szCs w:val="24"/>
        </w:rPr>
        <w:t xml:space="preserve"> Jose D’Souza 24251325</w:t>
      </w:r>
    </w:p>
    <w:p w14:paraId="4B14ECCC" w14:textId="77777777" w:rsidR="008C0A79" w:rsidRDefault="00000000">
      <w:pPr>
        <w:spacing w:before="62" w:line="228" w:lineRule="auto"/>
        <w:ind w:left="369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MSc. Big Data Analytics</w:t>
      </w:r>
    </w:p>
    <w:p w14:paraId="7CCD26E5" w14:textId="77777777" w:rsidR="008C0A79" w:rsidRDefault="00000000">
      <w:pPr>
        <w:spacing w:before="14" w:line="186" w:lineRule="auto"/>
        <w:ind w:left="1019"/>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Aloysius Institute of Management &amp; Information Technology (AIMIT)</w:t>
      </w:r>
    </w:p>
    <w:p w14:paraId="655A28C2" w14:textId="77777777" w:rsidR="008C0A79" w:rsidRDefault="00000000">
      <w:pPr>
        <w:spacing w:before="62" w:line="18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St Aloysius (DEEMED TO BE UNIVERSITY)</w:t>
      </w:r>
    </w:p>
    <w:p w14:paraId="4EDA8732" w14:textId="77777777" w:rsidR="008C0A79" w:rsidRDefault="00000000">
      <w:pPr>
        <w:spacing w:before="62" w:line="186" w:lineRule="auto"/>
        <w:ind w:left="346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Mangalore, Karnataka</w:t>
      </w:r>
    </w:p>
    <w:p w14:paraId="30817882" w14:textId="77777777" w:rsidR="008C0A79" w:rsidRDefault="008C0A79">
      <w:pPr>
        <w:spacing w:line="270" w:lineRule="auto"/>
        <w:rPr>
          <w:sz w:val="21"/>
          <w:szCs w:val="21"/>
        </w:rPr>
      </w:pPr>
    </w:p>
    <w:p w14:paraId="71F8E9EA" w14:textId="77777777" w:rsidR="008C0A79" w:rsidRDefault="008C0A79">
      <w:pPr>
        <w:spacing w:line="269" w:lineRule="auto"/>
        <w:rPr>
          <w:sz w:val="21"/>
          <w:szCs w:val="21"/>
        </w:rPr>
      </w:pPr>
    </w:p>
    <w:p w14:paraId="7532BC47" w14:textId="77777777" w:rsidR="008C0A79" w:rsidRDefault="008C0A79">
      <w:pPr>
        <w:spacing w:line="269" w:lineRule="auto"/>
        <w:rPr>
          <w:sz w:val="21"/>
          <w:szCs w:val="21"/>
        </w:rPr>
      </w:pPr>
    </w:p>
    <w:p w14:paraId="366DDCD1" w14:textId="77777777" w:rsidR="008C0A79" w:rsidRDefault="008C0A79">
      <w:pPr>
        <w:spacing w:line="269" w:lineRule="auto"/>
        <w:rPr>
          <w:sz w:val="21"/>
          <w:szCs w:val="21"/>
        </w:rPr>
      </w:pPr>
    </w:p>
    <w:p w14:paraId="2FBCFC7E" w14:textId="77777777" w:rsidR="008C0A79" w:rsidRDefault="00000000">
      <w:pPr>
        <w:spacing w:before="69" w:line="190" w:lineRule="auto"/>
        <w:ind w:left="71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Submitted in Partial </w:t>
      </w:r>
      <w:proofErr w:type="spellStart"/>
      <w:r>
        <w:rPr>
          <w:rFonts w:ascii="Times New Roman" w:eastAsia="Times New Roman" w:hAnsi="Times New Roman" w:cs="Times New Roman"/>
          <w:sz w:val="24"/>
          <w:szCs w:val="24"/>
        </w:rPr>
        <w:t>Fulfillment</w:t>
      </w:r>
      <w:proofErr w:type="spellEnd"/>
      <w:r>
        <w:rPr>
          <w:rFonts w:ascii="Times New Roman" w:eastAsia="Times New Roman" w:hAnsi="Times New Roman" w:cs="Times New Roman"/>
          <w:sz w:val="24"/>
          <w:szCs w:val="24"/>
        </w:rPr>
        <w:t xml:space="preserve"> of the Requirements for the Award of the Degree of</w:t>
      </w:r>
    </w:p>
    <w:p w14:paraId="002F3AF4" w14:textId="77777777" w:rsidR="008C0A79" w:rsidRDefault="00000000">
      <w:pPr>
        <w:spacing w:before="67" w:line="18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Master of Science in Big Data Analytics</w:t>
      </w:r>
    </w:p>
    <w:p w14:paraId="2EF55990" w14:textId="77777777" w:rsidR="008C0A79" w:rsidRDefault="008C0A79">
      <w:pPr>
        <w:spacing w:line="268" w:lineRule="auto"/>
        <w:rPr>
          <w:sz w:val="21"/>
          <w:szCs w:val="21"/>
        </w:rPr>
      </w:pPr>
    </w:p>
    <w:p w14:paraId="1579C8A0" w14:textId="77777777" w:rsidR="008C0A79" w:rsidRDefault="008C0A79">
      <w:pPr>
        <w:spacing w:line="269" w:lineRule="auto"/>
        <w:rPr>
          <w:sz w:val="21"/>
          <w:szCs w:val="21"/>
        </w:rPr>
      </w:pPr>
    </w:p>
    <w:p w14:paraId="7C1265C8" w14:textId="77777777" w:rsidR="008C0A79" w:rsidRDefault="008C0A79">
      <w:pPr>
        <w:spacing w:line="269" w:lineRule="auto"/>
        <w:rPr>
          <w:sz w:val="21"/>
          <w:szCs w:val="21"/>
        </w:rPr>
      </w:pPr>
    </w:p>
    <w:p w14:paraId="68D7AAAE" w14:textId="77777777" w:rsidR="008C0A79" w:rsidRDefault="00000000">
      <w:pPr>
        <w:spacing w:before="70" w:line="190" w:lineRule="auto"/>
        <w:ind w:left="3681"/>
        <w:rPr>
          <w:rFonts w:ascii="Times New Roman" w:eastAsia="Times New Roman" w:hAnsi="Times New Roman" w:cs="Times New Roman"/>
          <w:sz w:val="24"/>
          <w:szCs w:val="24"/>
        </w:rPr>
      </w:pPr>
      <w:r>
        <w:rPr>
          <w:rFonts w:ascii="Times New Roman" w:eastAsia="Times New Roman" w:hAnsi="Times New Roman" w:cs="Times New Roman"/>
          <w:sz w:val="24"/>
          <w:szCs w:val="24"/>
        </w:rPr>
        <w:t>Under the guidance of</w:t>
      </w:r>
    </w:p>
    <w:p w14:paraId="34BBCD52" w14:textId="77777777" w:rsidR="008C0A79" w:rsidRDefault="008C0A79">
      <w:pPr>
        <w:spacing w:line="271" w:lineRule="auto"/>
        <w:rPr>
          <w:sz w:val="21"/>
          <w:szCs w:val="21"/>
        </w:rPr>
        <w:sectPr w:rsidR="008C0A79">
          <w:pgSz w:w="11909" w:h="16834"/>
          <w:pgMar w:top="1440" w:right="1440" w:bottom="1440" w:left="1440" w:header="720" w:footer="720" w:gutter="0"/>
          <w:pgNumType w:start="1"/>
          <w:cols w:space="720"/>
        </w:sectPr>
      </w:pPr>
    </w:p>
    <w:p w14:paraId="23C0A326" w14:textId="77777777" w:rsidR="008C0A79" w:rsidRDefault="00000000">
      <w:pPr>
        <w:spacing w:before="69" w:line="187" w:lineRule="auto"/>
        <w:ind w:left="125"/>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Dr. Rakesh Kumar B</w:t>
      </w:r>
    </w:p>
    <w:p w14:paraId="303FB2E9" w14:textId="77777777" w:rsidR="008C0A79" w:rsidRDefault="00000000">
      <w:pPr>
        <w:spacing w:before="69" w:line="187" w:lineRule="auto"/>
        <w:ind w:left="12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Associate Professor (Department of BDA)</w:t>
      </w:r>
    </w:p>
    <w:p w14:paraId="16BF60C6" w14:textId="77777777" w:rsidR="008C0A79" w:rsidRDefault="00000000">
      <w:pPr>
        <w:spacing w:before="69" w:line="187" w:lineRule="auto"/>
        <w:ind w:left="12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 Aloysius Institute </w:t>
      </w:r>
      <w:proofErr w:type="gramStart"/>
      <w:r>
        <w:rPr>
          <w:rFonts w:ascii="Times New Roman" w:eastAsia="Times New Roman" w:hAnsi="Times New Roman" w:cs="Times New Roman"/>
          <w:sz w:val="24"/>
          <w:szCs w:val="24"/>
        </w:rPr>
        <w:t>Of</w:t>
      </w:r>
      <w:proofErr w:type="gramEnd"/>
      <w:r>
        <w:rPr>
          <w:rFonts w:ascii="Times New Roman" w:eastAsia="Times New Roman" w:hAnsi="Times New Roman" w:cs="Times New Roman"/>
          <w:sz w:val="24"/>
          <w:szCs w:val="24"/>
        </w:rPr>
        <w:t xml:space="preserve"> Management and Information Technology (AIMIT)</w:t>
      </w:r>
    </w:p>
    <w:p w14:paraId="46F05463" w14:textId="77777777" w:rsidR="008C0A79" w:rsidRDefault="00000000">
      <w:pPr>
        <w:spacing w:before="69" w:line="187" w:lineRule="auto"/>
        <w:ind w:left="12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 Aloysius (DEEMED TO BE UNIVERSITY)</w:t>
      </w:r>
    </w:p>
    <w:p w14:paraId="0CE2263F" w14:textId="77777777" w:rsidR="008C0A79" w:rsidRDefault="00000000">
      <w:pPr>
        <w:spacing w:before="69" w:line="187" w:lineRule="auto"/>
        <w:ind w:left="125"/>
        <w:jc w:val="center"/>
        <w:rPr>
          <w:rFonts w:ascii="Times New Roman" w:eastAsia="Times New Roman" w:hAnsi="Times New Roman" w:cs="Times New Roman"/>
          <w:sz w:val="24"/>
          <w:szCs w:val="24"/>
        </w:rPr>
        <w:sectPr w:rsidR="008C0A79">
          <w:type w:val="continuous"/>
          <w:pgSz w:w="11909" w:h="16834"/>
          <w:pgMar w:top="1044" w:right="1138" w:bottom="0" w:left="1680" w:header="1029" w:footer="0" w:gutter="0"/>
          <w:cols w:space="720" w:equalWidth="0">
            <w:col w:w="9087" w:space="0"/>
          </w:cols>
        </w:sectPr>
      </w:pPr>
      <w:r>
        <w:rPr>
          <w:rFonts w:ascii="Times New Roman" w:eastAsia="Times New Roman" w:hAnsi="Times New Roman" w:cs="Times New Roman"/>
          <w:sz w:val="24"/>
          <w:szCs w:val="24"/>
        </w:rPr>
        <w:t>Mangalore, Karnataka</w:t>
      </w:r>
    </w:p>
    <w:p w14:paraId="5AE1EEEA" w14:textId="77777777" w:rsidR="008C0A79" w:rsidRDefault="008C0A79">
      <w:pPr>
        <w:spacing w:before="53" w:line="190" w:lineRule="auto"/>
        <w:ind w:left="544"/>
        <w:jc w:val="center"/>
        <w:rPr>
          <w:rFonts w:ascii="Times New Roman" w:eastAsia="Times New Roman" w:hAnsi="Times New Roman" w:cs="Times New Roman"/>
          <w:b/>
          <w:bCs/>
          <w:sz w:val="24"/>
          <w:szCs w:val="24"/>
        </w:rPr>
      </w:pPr>
    </w:p>
    <w:p w14:paraId="28977168" w14:textId="77777777" w:rsidR="008C0A79" w:rsidRDefault="00000000">
      <w:pPr>
        <w:spacing w:before="53" w:line="19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p>
    <w:p w14:paraId="54E679EC" w14:textId="77777777" w:rsidR="008C0A79" w:rsidRDefault="008C0A79">
      <w:pPr>
        <w:spacing w:before="53" w:line="190" w:lineRule="auto"/>
        <w:jc w:val="right"/>
        <w:rPr>
          <w:rFonts w:ascii="Times New Roman" w:eastAsia="Times New Roman" w:hAnsi="Times New Roman" w:cs="Times New Roman"/>
          <w:sz w:val="24"/>
          <w:szCs w:val="24"/>
        </w:rPr>
      </w:pPr>
    </w:p>
    <w:p w14:paraId="28E03617" w14:textId="77777777" w:rsidR="008C0A79" w:rsidRDefault="008C0A79">
      <w:pPr>
        <w:spacing w:before="53" w:line="190" w:lineRule="auto"/>
        <w:jc w:val="right"/>
        <w:rPr>
          <w:rFonts w:ascii="Times New Roman" w:eastAsia="Times New Roman" w:hAnsi="Times New Roman" w:cs="Times New Roman"/>
          <w:sz w:val="24"/>
          <w:szCs w:val="24"/>
        </w:rPr>
        <w:sectPr w:rsidR="008C0A79">
          <w:type w:val="continuous"/>
          <w:pgSz w:w="11909" w:h="16834"/>
          <w:pgMar w:top="1044" w:right="1138" w:bottom="0" w:left="1680" w:header="1029" w:footer="0" w:gutter="0"/>
          <w:cols w:num="2" w:space="720" w:equalWidth="0">
            <w:col w:w="4333" w:space="425"/>
            <w:col w:w="4333" w:space="0"/>
          </w:cols>
        </w:sectPr>
      </w:pPr>
    </w:p>
    <w:p w14:paraId="3C87E4A6" w14:textId="77777777" w:rsidR="008C0A79" w:rsidRDefault="00000000">
      <w:pPr>
        <w:spacing w:before="70" w:line="23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Submitted to</w:t>
      </w:r>
    </w:p>
    <w:p w14:paraId="445B9B68" w14:textId="77777777" w:rsidR="008C0A79" w:rsidRDefault="008C0A79">
      <w:pPr>
        <w:spacing w:line="303" w:lineRule="auto"/>
        <w:rPr>
          <w:sz w:val="21"/>
          <w:szCs w:val="21"/>
        </w:rPr>
      </w:pPr>
    </w:p>
    <w:p w14:paraId="0965BC3A" w14:textId="77777777" w:rsidR="008C0A79" w:rsidRDefault="008C0A79">
      <w:pPr>
        <w:spacing w:line="303" w:lineRule="auto"/>
        <w:rPr>
          <w:sz w:val="21"/>
          <w:szCs w:val="21"/>
        </w:rPr>
      </w:pPr>
    </w:p>
    <w:p w14:paraId="1EF2AF93" w14:textId="77777777" w:rsidR="008C0A79" w:rsidRDefault="008C0A79">
      <w:pPr>
        <w:spacing w:line="304" w:lineRule="auto"/>
        <w:rPr>
          <w:sz w:val="21"/>
          <w:szCs w:val="21"/>
        </w:rPr>
      </w:pPr>
    </w:p>
    <w:p w14:paraId="5F465E36" w14:textId="77777777" w:rsidR="008C0A79" w:rsidRDefault="00000000">
      <w:pPr>
        <w:jc w:val="center"/>
        <w:rPr>
          <w:sz w:val="21"/>
          <w:szCs w:val="21"/>
        </w:rPr>
      </w:pPr>
      <w:r>
        <w:rPr>
          <w:noProof/>
        </w:rPr>
        <w:drawing>
          <wp:inline distT="114300" distB="114300" distL="114300" distR="114300" wp14:anchorId="4E84C5C1" wp14:editId="56A35860">
            <wp:extent cx="2800350" cy="9525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800350" cy="952500"/>
                    </a:xfrm>
                    <a:prstGeom prst="rect">
                      <a:avLst/>
                    </a:prstGeom>
                    <a:ln/>
                  </pic:spPr>
                </pic:pic>
              </a:graphicData>
            </a:graphic>
          </wp:inline>
        </w:drawing>
      </w:r>
    </w:p>
    <w:p w14:paraId="29992638" w14:textId="77777777" w:rsidR="008C0A79" w:rsidRDefault="008C0A79">
      <w:pPr>
        <w:spacing w:line="186" w:lineRule="auto"/>
        <w:jc w:val="center"/>
        <w:rPr>
          <w:b/>
          <w:bCs/>
          <w:sz w:val="21"/>
          <w:szCs w:val="21"/>
        </w:rPr>
      </w:pPr>
    </w:p>
    <w:p w14:paraId="735BFBB2" w14:textId="77777777" w:rsidR="008C0A79" w:rsidRDefault="008C0A79">
      <w:pPr>
        <w:spacing w:line="186" w:lineRule="auto"/>
        <w:jc w:val="center"/>
        <w:rPr>
          <w:b/>
          <w:bCs/>
          <w:sz w:val="21"/>
          <w:szCs w:val="21"/>
        </w:rPr>
      </w:pPr>
    </w:p>
    <w:p w14:paraId="2AD3D533" w14:textId="77777777" w:rsidR="008C0A79" w:rsidRDefault="00000000">
      <w:pPr>
        <w:spacing w:line="186" w:lineRule="auto"/>
        <w:jc w:val="center"/>
        <w:rPr>
          <w:sz w:val="28"/>
          <w:szCs w:val="28"/>
        </w:rPr>
        <w:sectPr w:rsidR="008C0A79">
          <w:type w:val="continuous"/>
          <w:pgSz w:w="11909" w:h="16834"/>
          <w:pgMar w:top="1044" w:right="1138" w:bottom="0" w:left="1680" w:header="1029" w:footer="0" w:gutter="0"/>
          <w:cols w:space="720"/>
        </w:sectPr>
      </w:pPr>
      <w:r>
        <w:rPr>
          <w:b/>
          <w:bCs/>
          <w:sz w:val="28"/>
          <w:szCs w:val="28"/>
        </w:rPr>
        <w:t>2026</w:t>
      </w:r>
    </w:p>
    <w:p w14:paraId="1BA6D0FC" w14:textId="77777777" w:rsidR="008C0A79" w:rsidRDefault="00000000">
      <w:pPr>
        <w:jc w:val="center"/>
        <w:rPr>
          <w:rFonts w:ascii="Times New Roman" w:eastAsia="Times New Roman" w:hAnsi="Times New Roman" w:cs="Times New Roman"/>
          <w:sz w:val="24"/>
          <w:szCs w:val="24"/>
        </w:rPr>
      </w:pPr>
      <w:r>
        <w:rPr>
          <w:noProof/>
        </w:rPr>
        <w:lastRenderedPageBreak/>
        <w:drawing>
          <wp:inline distT="114300" distB="114300" distL="114300" distR="114300" wp14:anchorId="53823DDB" wp14:editId="468BD260">
            <wp:extent cx="2800350" cy="9525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800350" cy="952500"/>
                    </a:xfrm>
                    <a:prstGeom prst="rect">
                      <a:avLst/>
                    </a:prstGeom>
                    <a:ln/>
                  </pic:spPr>
                </pic:pic>
              </a:graphicData>
            </a:graphic>
          </wp:inline>
        </w:drawing>
      </w:r>
    </w:p>
    <w:p w14:paraId="69AC03A6" w14:textId="77777777" w:rsidR="008C0A79" w:rsidRDefault="00000000">
      <w:pPr>
        <w:spacing w:before="190" w:line="545" w:lineRule="auto"/>
        <w:ind w:firstLine="2803"/>
        <w:rPr>
          <w:rFonts w:ascii="Times New Roman" w:eastAsia="Times New Roman" w:hAnsi="Times New Roman" w:cs="Times New Roman"/>
          <w:sz w:val="24"/>
          <w:szCs w:val="24"/>
        </w:rPr>
      </w:pPr>
      <w:r>
        <w:rPr>
          <w:rFonts w:ascii="Times New Roman" w:eastAsia="Times New Roman" w:hAnsi="Times New Roman" w:cs="Times New Roman"/>
          <w:noProof/>
          <w:sz w:val="36"/>
          <w:szCs w:val="36"/>
          <w:vertAlign w:val="subscript"/>
        </w:rPr>
        <mc:AlternateContent>
          <mc:Choice Requires="wps">
            <w:drawing>
              <wp:inline distT="0" distB="0" distL="114300" distR="114300" wp14:anchorId="7D128237" wp14:editId="4A1A73E9">
                <wp:extent cx="2174875" cy="351399"/>
                <wp:effectExtent l="0" t="0" r="0" b="0"/>
                <wp:docPr id="1" name="Rectangle: Rounded Corners 1"/>
                <wp:cNvGraphicFramePr/>
                <a:graphic xmlns:a="http://schemas.openxmlformats.org/drawingml/2006/main">
                  <a:graphicData uri="http://schemas.microsoft.com/office/word/2010/wordprocessingShape">
                    <wps:wsp>
                      <wps:cNvSpPr/>
                      <wps:spPr>
                        <a:xfrm>
                          <a:off x="4264913" y="3611725"/>
                          <a:ext cx="2162175" cy="336550"/>
                        </a:xfrm>
                        <a:prstGeom prst="roundRect">
                          <a:avLst>
                            <a:gd name="adj" fmla="val 16667"/>
                          </a:avLst>
                        </a:prstGeom>
                        <a:noFill/>
                        <a:ln w="12700" cap="flat" cmpd="sng">
                          <a:solidFill>
                            <a:srgbClr val="000000"/>
                          </a:solidFill>
                          <a:prstDash val="solid"/>
                          <a:miter lim="0"/>
                          <a:headEnd type="none" w="sm" len="sm"/>
                          <a:tailEnd type="none" w="sm" len="sm"/>
                        </a:ln>
                      </wps:spPr>
                      <wps:txbx>
                        <w:txbxContent>
                          <w:p w14:paraId="03A1904E" w14:textId="77777777" w:rsidR="008C0A79" w:rsidRDefault="00000000">
                            <w:pPr>
                              <w:spacing w:before="93" w:line="185" w:lineRule="auto"/>
                              <w:jc w:val="center"/>
                              <w:textDirection w:val="btLr"/>
                            </w:pPr>
                            <w:r>
                              <w:rPr>
                                <w:rFonts w:ascii="Times New Roman" w:eastAsia="Times New Roman" w:hAnsi="Times New Roman" w:cs="Times New Roman"/>
                                <w:b/>
                                <w:color w:val="000000"/>
                                <w:sz w:val="24"/>
                              </w:rPr>
                              <w:t>CERTIFICATE</w:t>
                            </w:r>
                          </w:p>
                        </w:txbxContent>
                      </wps:txbx>
                      <wps:bodyPr spcFirstLastPara="1" wrap="square" lIns="88900" tIns="38100" rIns="88900" bIns="38100" anchor="t" anchorCtr="0">
                        <a:noAutofit/>
                      </wps:bodyPr>
                    </wps:wsp>
                  </a:graphicData>
                </a:graphic>
              </wp:inline>
            </w:drawing>
          </mc:Choice>
          <mc:Fallback>
            <w:pict>
              <v:roundrect w14:anchorId="7D128237" id="Rectangle: Rounded Corners 1" o:spid="_x0000_s1026" style="width:171.25pt;height:27.65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" filled="f" strokeweight="1pt">
                <v:stroke startarrowwidth="narrow" startarrowlength="short" endarrowwidth="narrow" endarrowlength="short" miterlimit="0" joinstyle="miter"/>
                <v:textbox inset="7pt,3pt,7pt,3pt">
                  <w:txbxContent>
                    <w:p w14:paraId="03A1904E" w14:textId="77777777" w:rsidR="008C0A79" w:rsidRDefault="00000000">
                      <w:pPr>
                        <w:spacing w:before="93" w:line="185" w:lineRule="auto"/>
                        <w:jc w:val="center"/>
                        <w:textDirection w:val="btLr"/>
                      </w:pPr>
                      <w:r>
                        <w:rPr>
                          <w:rFonts w:ascii="Times New Roman" w:eastAsia="Times New Roman" w:hAnsi="Times New Roman" w:cs="Times New Roman"/>
                          <w:b/>
                          <w:color w:val="000000"/>
                          <w:sz w:val="24"/>
                        </w:rPr>
                        <w:t>CERTIFICATE</w:t>
                      </w:r>
                    </w:p>
                  </w:txbxContent>
                </v:textbox>
                <w10:anchorlock/>
              </v:roundrect>
            </w:pict>
          </mc:Fallback>
        </mc:AlternateContent>
      </w:r>
    </w:p>
    <w:p w14:paraId="0714E8AD" w14:textId="77777777" w:rsidR="008C0A79" w:rsidRDefault="00000000">
      <w:pPr>
        <w:spacing w:before="117" w:after="200" w:line="19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to certify that the project titled</w:t>
      </w:r>
    </w:p>
    <w:p w14:paraId="482EE181" w14:textId="77777777" w:rsidR="008C0A79" w:rsidRDefault="00000000">
      <w:pPr>
        <w:spacing w:after="200" w:line="259"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Time Series Forecasting </w:t>
      </w:r>
      <w:proofErr w:type="gramStart"/>
      <w:r>
        <w:rPr>
          <w:rFonts w:ascii="Times New Roman" w:eastAsia="Times New Roman" w:hAnsi="Times New Roman" w:cs="Times New Roman"/>
          <w:b/>
          <w:bCs/>
          <w:sz w:val="28"/>
          <w:szCs w:val="28"/>
        </w:rPr>
        <w:t>For</w:t>
      </w:r>
      <w:proofErr w:type="gramEnd"/>
      <w:r>
        <w:rPr>
          <w:rFonts w:ascii="Times New Roman" w:eastAsia="Times New Roman" w:hAnsi="Times New Roman" w:cs="Times New Roman"/>
          <w:b/>
          <w:bCs/>
          <w:sz w:val="28"/>
          <w:szCs w:val="28"/>
        </w:rPr>
        <w:t xml:space="preserve"> Predicting Long-Term Gold Price</w:t>
      </w:r>
    </w:p>
    <w:p w14:paraId="498DF598" w14:textId="77777777" w:rsidR="008C0A79" w:rsidRDefault="00000000">
      <w:pPr>
        <w:spacing w:before="190" w:line="19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Submitted by</w:t>
      </w:r>
    </w:p>
    <w:p w14:paraId="661398FD" w14:textId="77777777" w:rsidR="008C0A79" w:rsidRDefault="00000000">
      <w:pPr>
        <w:spacing w:before="206" w:line="213" w:lineRule="auto"/>
        <w:ind w:left="4326" w:right="3358" w:hanging="621"/>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Joyston</w:t>
      </w:r>
      <w:proofErr w:type="spellEnd"/>
      <w:r>
        <w:rPr>
          <w:rFonts w:ascii="Times New Roman" w:eastAsia="Times New Roman" w:hAnsi="Times New Roman" w:cs="Times New Roman"/>
          <w:b/>
          <w:bCs/>
          <w:sz w:val="24"/>
          <w:szCs w:val="24"/>
        </w:rPr>
        <w:t xml:space="preserve"> Jose D’Souza 24251325</w:t>
      </w:r>
    </w:p>
    <w:p w14:paraId="18E11AC6" w14:textId="77777777" w:rsidR="008C0A79" w:rsidRDefault="00000000">
      <w:pPr>
        <w:spacing w:before="62" w:line="228" w:lineRule="auto"/>
        <w:ind w:left="369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MSc. Big Data Analytics</w:t>
      </w:r>
    </w:p>
    <w:p w14:paraId="0ECCD0E2" w14:textId="77777777" w:rsidR="008C0A79" w:rsidRDefault="00000000">
      <w:pPr>
        <w:spacing w:before="14" w:line="186" w:lineRule="auto"/>
        <w:ind w:left="1019"/>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Aloysius Institute of Management &amp; Information Technology (AIMIT)</w:t>
      </w:r>
    </w:p>
    <w:p w14:paraId="6276355B" w14:textId="77777777" w:rsidR="008C0A79" w:rsidRDefault="00000000">
      <w:pPr>
        <w:spacing w:before="62" w:line="18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St Aloysius (DEEMED TO BE UNIVERSITY)</w:t>
      </w:r>
    </w:p>
    <w:p w14:paraId="6BE9DA4B" w14:textId="77777777" w:rsidR="008C0A79" w:rsidRDefault="00000000">
      <w:pPr>
        <w:spacing w:before="62" w:line="213" w:lineRule="auto"/>
        <w:ind w:left="4417" w:right="3175" w:hanging="719"/>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Mangalore, Karnataka</w:t>
      </w:r>
    </w:p>
    <w:p w14:paraId="05686137" w14:textId="77777777" w:rsidR="008C0A79" w:rsidRDefault="00000000">
      <w:pPr>
        <w:spacing w:before="293" w:line="215" w:lineRule="auto"/>
        <w:ind w:left="1439" w:hanging="1303"/>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In partial </w:t>
      </w:r>
      <w:proofErr w:type="spellStart"/>
      <w:r>
        <w:rPr>
          <w:rFonts w:ascii="Times New Roman" w:eastAsia="Times New Roman" w:hAnsi="Times New Roman" w:cs="Times New Roman"/>
          <w:sz w:val="24"/>
          <w:szCs w:val="24"/>
        </w:rPr>
        <w:t>fulfillment</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of  the</w:t>
      </w:r>
      <w:proofErr w:type="gramEnd"/>
      <w:r>
        <w:rPr>
          <w:rFonts w:ascii="Times New Roman" w:eastAsia="Times New Roman" w:hAnsi="Times New Roman" w:cs="Times New Roman"/>
          <w:sz w:val="24"/>
          <w:szCs w:val="24"/>
        </w:rPr>
        <w:t xml:space="preserve"> requirements for award of degree </w:t>
      </w:r>
      <w:proofErr w:type="gramStart"/>
      <w:r>
        <w:rPr>
          <w:rFonts w:ascii="Times New Roman" w:eastAsia="Times New Roman" w:hAnsi="Times New Roman" w:cs="Times New Roman"/>
          <w:sz w:val="24"/>
          <w:szCs w:val="24"/>
        </w:rPr>
        <w:t>of  Master</w:t>
      </w:r>
      <w:proofErr w:type="gramEnd"/>
      <w:r>
        <w:rPr>
          <w:rFonts w:ascii="Times New Roman" w:eastAsia="Times New Roman" w:hAnsi="Times New Roman" w:cs="Times New Roman"/>
          <w:sz w:val="24"/>
          <w:szCs w:val="24"/>
        </w:rPr>
        <w:t xml:space="preserve"> of Science in Big Data Analytics of Mangalore St. Aloysius (Deemed to be University)</w:t>
      </w:r>
    </w:p>
    <w:p w14:paraId="10663919" w14:textId="77777777" w:rsidR="008C0A79" w:rsidRDefault="00000000">
      <w:pPr>
        <w:spacing w:before="299" w:line="187" w:lineRule="auto"/>
        <w:ind w:left="3937"/>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During the year</w:t>
      </w:r>
    </w:p>
    <w:p w14:paraId="3CA93DD0" w14:textId="77777777" w:rsidR="008C0A79" w:rsidRDefault="00000000">
      <w:pPr>
        <w:spacing w:before="117" w:line="18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2026</w:t>
      </w:r>
    </w:p>
    <w:p w14:paraId="43B52436" w14:textId="77777777" w:rsidR="008C0A79" w:rsidRDefault="008C0A79">
      <w:pPr>
        <w:spacing w:before="117" w:line="186" w:lineRule="auto"/>
        <w:jc w:val="center"/>
        <w:rPr>
          <w:rFonts w:ascii="Times New Roman" w:eastAsia="Times New Roman" w:hAnsi="Times New Roman" w:cs="Times New Roman"/>
          <w:sz w:val="24"/>
          <w:szCs w:val="24"/>
        </w:rPr>
      </w:pPr>
    </w:p>
    <w:p w14:paraId="173B08AE" w14:textId="77777777" w:rsidR="008C0A79" w:rsidRDefault="008C0A79">
      <w:pPr>
        <w:spacing w:before="40" w:line="240" w:lineRule="auto"/>
        <w:rPr>
          <w:sz w:val="21"/>
          <w:szCs w:val="21"/>
        </w:rPr>
      </w:pPr>
    </w:p>
    <w:p w14:paraId="4EC8C59D" w14:textId="77777777" w:rsidR="008C0A79" w:rsidRDefault="008C0A79">
      <w:pPr>
        <w:spacing w:before="40" w:line="240" w:lineRule="auto"/>
        <w:rPr>
          <w:sz w:val="21"/>
          <w:szCs w:val="21"/>
        </w:rPr>
        <w:sectPr w:rsidR="008C0A79">
          <w:pgSz w:w="11909" w:h="16834"/>
          <w:pgMar w:top="1320" w:right="836" w:bottom="0" w:left="1680" w:header="1305" w:footer="0" w:gutter="0"/>
          <w:cols w:space="720"/>
        </w:sectPr>
      </w:pPr>
    </w:p>
    <w:p w14:paraId="0752000A" w14:textId="77777777" w:rsidR="008C0A79" w:rsidRDefault="00000000">
      <w:pPr>
        <w:spacing w:before="44" w:line="216" w:lineRule="auto"/>
        <w:ind w:right="2113"/>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Dr. Rakesh Kumar B</w:t>
      </w:r>
      <w:r>
        <w:rPr>
          <w:rFonts w:ascii="Times New Roman" w:eastAsia="Times New Roman" w:hAnsi="Times New Roman" w:cs="Times New Roman"/>
          <w:sz w:val="24"/>
          <w:szCs w:val="24"/>
        </w:rPr>
        <w:t xml:space="preserve"> </w:t>
      </w:r>
    </w:p>
    <w:p w14:paraId="6FD8379A" w14:textId="77777777" w:rsidR="008C0A79" w:rsidRDefault="00000000">
      <w:pPr>
        <w:spacing w:before="69" w:line="18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Associate Professor (Department of BDA),</w:t>
      </w:r>
    </w:p>
    <w:p w14:paraId="54DA0315" w14:textId="77777777" w:rsidR="008C0A79" w:rsidRDefault="00000000">
      <w:pPr>
        <w:spacing w:before="58" w:line="19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Department </w:t>
      </w:r>
      <w:proofErr w:type="gramStart"/>
      <w:r>
        <w:rPr>
          <w:rFonts w:ascii="Times New Roman" w:eastAsia="Times New Roman" w:hAnsi="Times New Roman" w:cs="Times New Roman"/>
          <w:sz w:val="24"/>
          <w:szCs w:val="24"/>
        </w:rPr>
        <w:t>of  M.</w:t>
      </w:r>
      <w:proofErr w:type="gramEnd"/>
      <w:r>
        <w:rPr>
          <w:rFonts w:ascii="Times New Roman" w:eastAsia="Times New Roman" w:hAnsi="Times New Roman" w:cs="Times New Roman"/>
          <w:sz w:val="24"/>
          <w:szCs w:val="24"/>
        </w:rPr>
        <w:t xml:space="preserve"> Sc (Big Data Analytics),</w:t>
      </w:r>
    </w:p>
    <w:p w14:paraId="4AB52B73" w14:textId="77777777" w:rsidR="008C0A79" w:rsidRDefault="00000000">
      <w:pPr>
        <w:spacing w:before="57" w:line="215" w:lineRule="auto"/>
        <w:ind w:right="182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AIMIT, </w:t>
      </w:r>
    </w:p>
    <w:p w14:paraId="2350A70E" w14:textId="77777777" w:rsidR="008C0A79" w:rsidRDefault="00000000">
      <w:pPr>
        <w:spacing w:before="57" w:line="215" w:lineRule="auto"/>
        <w:ind w:right="1822"/>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St.Aloysius</w:t>
      </w:r>
      <w:proofErr w:type="spellEnd"/>
      <w:proofErr w:type="gramEnd"/>
      <w:r>
        <w:rPr>
          <w:rFonts w:ascii="Times New Roman" w:eastAsia="Times New Roman" w:hAnsi="Times New Roman" w:cs="Times New Roman"/>
          <w:sz w:val="24"/>
          <w:szCs w:val="24"/>
        </w:rPr>
        <w:t xml:space="preserve"> (Deemed </w:t>
      </w:r>
      <w:proofErr w:type="gramStart"/>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 xml:space="preserve"> Be University), Mangaluru-575022.</w:t>
      </w:r>
    </w:p>
    <w:p w14:paraId="68259A7A" w14:textId="77777777" w:rsidR="008C0A79" w:rsidRDefault="008C0A79">
      <w:pPr>
        <w:spacing w:line="270" w:lineRule="auto"/>
        <w:rPr>
          <w:sz w:val="21"/>
          <w:szCs w:val="21"/>
        </w:rPr>
      </w:pPr>
    </w:p>
    <w:p w14:paraId="05A424B9" w14:textId="77777777" w:rsidR="008C0A79" w:rsidRDefault="008C0A79">
      <w:pPr>
        <w:spacing w:line="271" w:lineRule="auto"/>
        <w:rPr>
          <w:sz w:val="21"/>
          <w:szCs w:val="21"/>
        </w:rPr>
      </w:pPr>
    </w:p>
    <w:p w14:paraId="05217DFD" w14:textId="77777777" w:rsidR="008C0A79" w:rsidRDefault="008C0A79">
      <w:pPr>
        <w:spacing w:line="271" w:lineRule="auto"/>
        <w:rPr>
          <w:sz w:val="21"/>
          <w:szCs w:val="21"/>
        </w:rPr>
      </w:pPr>
    </w:p>
    <w:p w14:paraId="70EB0FE6" w14:textId="77777777" w:rsidR="008C0A79" w:rsidRDefault="008C0A79">
      <w:pPr>
        <w:spacing w:line="271" w:lineRule="auto"/>
        <w:rPr>
          <w:sz w:val="21"/>
          <w:szCs w:val="21"/>
        </w:rPr>
      </w:pPr>
    </w:p>
    <w:p w14:paraId="04CDE537" w14:textId="77777777" w:rsidR="008C0A79" w:rsidRDefault="008C0A79">
      <w:pPr>
        <w:spacing w:line="271" w:lineRule="auto"/>
        <w:rPr>
          <w:sz w:val="21"/>
          <w:szCs w:val="21"/>
        </w:rPr>
      </w:pPr>
    </w:p>
    <w:p w14:paraId="69DF2FCB" w14:textId="77777777" w:rsidR="008C0A79" w:rsidRDefault="00000000">
      <w:pPr>
        <w:widowControl w:val="0"/>
        <w:spacing w:line="240" w:lineRule="auto"/>
        <w:ind w:right="134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Dr. (Fr) Kiran Cotha SJ</w:t>
      </w:r>
    </w:p>
    <w:p w14:paraId="32395D28" w14:textId="77777777" w:rsidR="008C0A79" w:rsidRDefault="00000000">
      <w:pPr>
        <w:widowControl w:val="0"/>
        <w:spacing w:line="240" w:lineRule="auto"/>
        <w:ind w:right="1348"/>
        <w:rPr>
          <w:rFonts w:ascii="Times New Roman" w:eastAsia="Times New Roman" w:hAnsi="Times New Roman" w:cs="Times New Roman"/>
          <w:sz w:val="24"/>
          <w:szCs w:val="24"/>
        </w:rPr>
      </w:pPr>
      <w:r>
        <w:rPr>
          <w:rFonts w:ascii="Times New Roman" w:eastAsia="Times New Roman" w:hAnsi="Times New Roman" w:cs="Times New Roman"/>
          <w:sz w:val="24"/>
          <w:szCs w:val="24"/>
        </w:rPr>
        <w:t>Director,</w:t>
      </w:r>
    </w:p>
    <w:p w14:paraId="5DB79C46" w14:textId="77777777" w:rsidR="008C0A79" w:rsidRDefault="00000000">
      <w:pPr>
        <w:widowControl w:val="0"/>
        <w:spacing w:line="240" w:lineRule="auto"/>
        <w:ind w:right="236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AIMIT, St. Aloysius (Deemed </w:t>
      </w:r>
      <w:proofErr w:type="gramStart"/>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 xml:space="preserve"> Be University) Mangaluru-575 022.</w:t>
      </w:r>
    </w:p>
    <w:p w14:paraId="67F313FA" w14:textId="77777777" w:rsidR="008C0A79" w:rsidRDefault="00000000">
      <w:pPr>
        <w:spacing w:line="14" w:lineRule="auto"/>
        <w:rPr>
          <w:sz w:val="2"/>
          <w:szCs w:val="2"/>
        </w:rPr>
      </w:pPr>
      <w:r>
        <w:br w:type="column"/>
      </w:r>
    </w:p>
    <w:p w14:paraId="735242E5" w14:textId="77777777" w:rsidR="008C0A79" w:rsidRDefault="00000000">
      <w:pPr>
        <w:spacing w:before="45" w:line="190" w:lineRule="auto"/>
        <w:ind w:left="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Dr Hemalatha N</w:t>
      </w:r>
    </w:p>
    <w:p w14:paraId="35DD4CAB" w14:textId="77777777" w:rsidR="008C0A79" w:rsidRDefault="00000000">
      <w:pPr>
        <w:spacing w:before="58" w:line="200" w:lineRule="auto"/>
        <w:ind w:left="2"/>
        <w:rPr>
          <w:rFonts w:ascii="Times New Roman" w:eastAsia="Times New Roman" w:hAnsi="Times New Roman" w:cs="Times New Roman"/>
          <w:sz w:val="24"/>
          <w:szCs w:val="24"/>
        </w:rPr>
      </w:pPr>
      <w:r>
        <w:rPr>
          <w:rFonts w:ascii="Times New Roman" w:eastAsia="Times New Roman" w:hAnsi="Times New Roman" w:cs="Times New Roman"/>
          <w:sz w:val="24"/>
          <w:szCs w:val="24"/>
        </w:rPr>
        <w:t>Dean, School of Information Science and Technology,</w:t>
      </w:r>
    </w:p>
    <w:p w14:paraId="05D3112B" w14:textId="77777777" w:rsidR="008C0A79" w:rsidRDefault="00000000">
      <w:pPr>
        <w:spacing w:before="46" w:line="190" w:lineRule="auto"/>
        <w:ind w:left="2"/>
        <w:rPr>
          <w:rFonts w:ascii="Times New Roman" w:eastAsia="Times New Roman" w:hAnsi="Times New Roman" w:cs="Times New Roman"/>
          <w:sz w:val="24"/>
          <w:szCs w:val="24"/>
        </w:rPr>
      </w:pPr>
      <w:r>
        <w:rPr>
          <w:rFonts w:ascii="Times New Roman" w:eastAsia="Times New Roman" w:hAnsi="Times New Roman" w:cs="Times New Roman"/>
          <w:sz w:val="24"/>
          <w:szCs w:val="24"/>
        </w:rPr>
        <w:t>PG Depts. of Information Science and Technology,</w:t>
      </w:r>
    </w:p>
    <w:p w14:paraId="0D465852" w14:textId="77777777" w:rsidR="008C0A79" w:rsidRDefault="00000000">
      <w:pPr>
        <w:spacing w:before="57" w:line="215" w:lineRule="auto"/>
        <w:ind w:left="2" w:right="1544"/>
        <w:rPr>
          <w:rFonts w:ascii="Times New Roman" w:eastAsia="Times New Roman" w:hAnsi="Times New Roman" w:cs="Times New Roman"/>
          <w:sz w:val="24"/>
          <w:szCs w:val="24"/>
        </w:rPr>
      </w:pPr>
      <w:r>
        <w:rPr>
          <w:rFonts w:ascii="Times New Roman" w:eastAsia="Times New Roman" w:hAnsi="Times New Roman" w:cs="Times New Roman"/>
          <w:sz w:val="24"/>
          <w:szCs w:val="24"/>
        </w:rPr>
        <w:t>AIMIT,</w:t>
      </w:r>
    </w:p>
    <w:p w14:paraId="5EB6F005" w14:textId="77777777" w:rsidR="008C0A79" w:rsidRDefault="00000000">
      <w:pPr>
        <w:spacing w:before="57" w:line="215" w:lineRule="auto"/>
        <w:ind w:left="2" w:right="1544"/>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St.Aloysius</w:t>
      </w:r>
      <w:proofErr w:type="spellEnd"/>
      <w:proofErr w:type="gramEnd"/>
      <w:r>
        <w:rPr>
          <w:rFonts w:ascii="Times New Roman" w:eastAsia="Times New Roman" w:hAnsi="Times New Roman" w:cs="Times New Roman"/>
          <w:sz w:val="24"/>
          <w:szCs w:val="24"/>
        </w:rPr>
        <w:t xml:space="preserve"> (Deemed </w:t>
      </w:r>
      <w:proofErr w:type="gramStart"/>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 xml:space="preserve"> Be University), </w:t>
      </w:r>
    </w:p>
    <w:p w14:paraId="2B22CC6E" w14:textId="77777777" w:rsidR="008C0A79" w:rsidRDefault="00000000">
      <w:pPr>
        <w:spacing w:before="57" w:line="215" w:lineRule="auto"/>
        <w:ind w:left="2" w:right="1544"/>
        <w:rPr>
          <w:rFonts w:ascii="Times New Roman" w:eastAsia="Times New Roman" w:hAnsi="Times New Roman" w:cs="Times New Roman"/>
          <w:sz w:val="24"/>
          <w:szCs w:val="24"/>
        </w:rPr>
      </w:pPr>
      <w:r>
        <w:rPr>
          <w:rFonts w:ascii="Times New Roman" w:eastAsia="Times New Roman" w:hAnsi="Times New Roman" w:cs="Times New Roman"/>
          <w:sz w:val="24"/>
          <w:szCs w:val="24"/>
        </w:rPr>
        <w:t>Mangaluru-575 022.</w:t>
      </w:r>
    </w:p>
    <w:p w14:paraId="71095EEA" w14:textId="77777777" w:rsidR="008C0A79" w:rsidRDefault="008C0A79">
      <w:pPr>
        <w:spacing w:line="273" w:lineRule="auto"/>
        <w:rPr>
          <w:sz w:val="21"/>
          <w:szCs w:val="21"/>
        </w:rPr>
      </w:pPr>
    </w:p>
    <w:p w14:paraId="0F8B37BD" w14:textId="77777777" w:rsidR="008C0A79" w:rsidRDefault="008C0A79">
      <w:pPr>
        <w:spacing w:line="273" w:lineRule="auto"/>
        <w:rPr>
          <w:sz w:val="21"/>
          <w:szCs w:val="21"/>
        </w:rPr>
      </w:pPr>
    </w:p>
    <w:p w14:paraId="6AE60388" w14:textId="77777777" w:rsidR="008C0A79" w:rsidRDefault="008C0A79">
      <w:pPr>
        <w:spacing w:line="273" w:lineRule="auto"/>
        <w:rPr>
          <w:sz w:val="21"/>
          <w:szCs w:val="21"/>
        </w:rPr>
      </w:pPr>
    </w:p>
    <w:p w14:paraId="15226940" w14:textId="77777777" w:rsidR="008C0A79" w:rsidRDefault="00000000">
      <w:pPr>
        <w:spacing w:before="70" w:line="186" w:lineRule="auto"/>
        <w:ind w:left="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Examiners</w:t>
      </w:r>
    </w:p>
    <w:p w14:paraId="642C8501" w14:textId="77777777" w:rsidR="008C0A79" w:rsidRDefault="00000000">
      <w:pPr>
        <w:spacing w:before="57" w:line="186" w:lineRule="auto"/>
        <w:ind w:left="26"/>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p w14:paraId="1AF75F84" w14:textId="77777777" w:rsidR="008C0A79" w:rsidRDefault="008C0A79">
      <w:pPr>
        <w:spacing w:line="271" w:lineRule="auto"/>
        <w:rPr>
          <w:sz w:val="21"/>
          <w:szCs w:val="21"/>
        </w:rPr>
      </w:pPr>
    </w:p>
    <w:p w14:paraId="1F1810DD" w14:textId="77777777" w:rsidR="008C0A79" w:rsidRDefault="008C0A79">
      <w:pPr>
        <w:spacing w:line="271" w:lineRule="auto"/>
        <w:rPr>
          <w:sz w:val="21"/>
          <w:szCs w:val="21"/>
        </w:rPr>
      </w:pPr>
    </w:p>
    <w:p w14:paraId="794BB3D1" w14:textId="77777777" w:rsidR="008C0A79" w:rsidRDefault="008C0A79">
      <w:pPr>
        <w:spacing w:line="271" w:lineRule="auto"/>
        <w:rPr>
          <w:sz w:val="21"/>
          <w:szCs w:val="21"/>
        </w:rPr>
      </w:pPr>
    </w:p>
    <w:p w14:paraId="683E4858" w14:textId="77777777" w:rsidR="008C0A79" w:rsidRDefault="00000000">
      <w:pPr>
        <w:spacing w:before="70" w:line="165" w:lineRule="auto"/>
        <w:ind w:left="3"/>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p w14:paraId="386A35B4" w14:textId="77777777" w:rsidR="008C0A79" w:rsidRDefault="008C0A79">
      <w:pPr>
        <w:spacing w:before="70" w:line="165" w:lineRule="auto"/>
        <w:ind w:left="3"/>
        <w:rPr>
          <w:rFonts w:ascii="Times New Roman" w:eastAsia="Times New Roman" w:hAnsi="Times New Roman" w:cs="Times New Roman"/>
          <w:sz w:val="24"/>
          <w:szCs w:val="24"/>
        </w:rPr>
        <w:sectPr w:rsidR="008C0A79">
          <w:type w:val="continuous"/>
          <w:pgSz w:w="11909" w:h="16834"/>
          <w:pgMar w:top="1320" w:right="836" w:bottom="0" w:left="1680" w:header="1305" w:footer="0" w:gutter="0"/>
          <w:cols w:num="2" w:space="720" w:equalWidth="0">
            <w:col w:w="4646" w:space="100"/>
            <w:col w:w="4646" w:space="0"/>
          </w:cols>
        </w:sectPr>
      </w:pPr>
    </w:p>
    <w:p w14:paraId="5D9B1D25" w14:textId="77777777" w:rsidR="008C0A79" w:rsidRDefault="008C0A79">
      <w:pPr>
        <w:spacing w:before="69" w:line="186" w:lineRule="auto"/>
        <w:rPr>
          <w:rFonts w:ascii="Times New Roman" w:eastAsia="Times New Roman" w:hAnsi="Times New Roman" w:cs="Times New Roman"/>
          <w:b/>
          <w:bCs/>
          <w:sz w:val="24"/>
          <w:szCs w:val="24"/>
        </w:rPr>
      </w:pPr>
    </w:p>
    <w:p w14:paraId="22B9FDB8" w14:textId="77777777" w:rsidR="008C0A79" w:rsidRDefault="008C0A79">
      <w:pPr>
        <w:spacing w:before="69" w:line="186" w:lineRule="auto"/>
        <w:rPr>
          <w:rFonts w:ascii="Times New Roman" w:eastAsia="Times New Roman" w:hAnsi="Times New Roman" w:cs="Times New Roman"/>
          <w:b/>
          <w:bCs/>
          <w:sz w:val="24"/>
          <w:szCs w:val="24"/>
        </w:rPr>
      </w:pPr>
    </w:p>
    <w:p w14:paraId="54473730" w14:textId="77777777" w:rsidR="008C0A79" w:rsidRDefault="008C0A79">
      <w:pPr>
        <w:spacing w:before="69" w:line="186" w:lineRule="auto"/>
        <w:rPr>
          <w:rFonts w:ascii="Times New Roman" w:eastAsia="Times New Roman" w:hAnsi="Times New Roman" w:cs="Times New Roman"/>
          <w:b/>
          <w:bCs/>
          <w:sz w:val="24"/>
          <w:szCs w:val="24"/>
        </w:rPr>
      </w:pPr>
    </w:p>
    <w:p w14:paraId="4B1D00E2" w14:textId="77777777" w:rsidR="008C0A79" w:rsidRDefault="008C0A79">
      <w:pPr>
        <w:spacing w:before="69" w:line="186" w:lineRule="auto"/>
        <w:rPr>
          <w:rFonts w:ascii="Times New Roman" w:eastAsia="Times New Roman" w:hAnsi="Times New Roman" w:cs="Times New Roman"/>
          <w:b/>
          <w:bCs/>
          <w:sz w:val="24"/>
          <w:szCs w:val="24"/>
        </w:rPr>
      </w:pPr>
    </w:p>
    <w:p w14:paraId="32B7ACC7" w14:textId="77777777" w:rsidR="008C0A79" w:rsidRDefault="00000000">
      <w:pPr>
        <w:spacing w:before="69" w:line="18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CERTIFICATE OF AUTHENTICATED WORK</w:t>
      </w:r>
    </w:p>
    <w:p w14:paraId="4B6C1D7E" w14:textId="77777777" w:rsidR="008C0A79" w:rsidRDefault="008C0A79">
      <w:pPr>
        <w:spacing w:line="266" w:lineRule="auto"/>
        <w:rPr>
          <w:sz w:val="21"/>
          <w:szCs w:val="21"/>
        </w:rPr>
      </w:pPr>
    </w:p>
    <w:p w14:paraId="0DB44464" w14:textId="77777777" w:rsidR="008C0A79" w:rsidRDefault="008C0A79">
      <w:pPr>
        <w:spacing w:line="266" w:lineRule="auto"/>
        <w:rPr>
          <w:sz w:val="21"/>
          <w:szCs w:val="21"/>
        </w:rPr>
      </w:pPr>
    </w:p>
    <w:p w14:paraId="57B06D18" w14:textId="77777777" w:rsidR="008C0A79" w:rsidRDefault="00000000">
      <w:pPr>
        <w:widowControl w:val="0"/>
        <w:spacing w:line="360" w:lineRule="auto"/>
        <w:ind w:left="918"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to certify that the project report entitled</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u w:val="single"/>
        </w:rPr>
        <w:t xml:space="preserve">Time Series Forecasting </w:t>
      </w:r>
      <w:proofErr w:type="gramStart"/>
      <w:r>
        <w:rPr>
          <w:rFonts w:ascii="Times New Roman" w:eastAsia="Times New Roman" w:hAnsi="Times New Roman" w:cs="Times New Roman"/>
          <w:b/>
          <w:bCs/>
          <w:sz w:val="24"/>
          <w:szCs w:val="24"/>
          <w:u w:val="single"/>
        </w:rPr>
        <w:t>For</w:t>
      </w:r>
      <w:proofErr w:type="gramEnd"/>
      <w:r>
        <w:rPr>
          <w:rFonts w:ascii="Times New Roman" w:eastAsia="Times New Roman" w:hAnsi="Times New Roman" w:cs="Times New Roman"/>
          <w:b/>
          <w:bCs/>
          <w:sz w:val="24"/>
          <w:szCs w:val="24"/>
          <w:u w:val="single"/>
        </w:rPr>
        <w:t xml:space="preserve"> Predicting Long -Term Gold Price</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submitted to </w:t>
      </w:r>
      <w:r>
        <w:rPr>
          <w:rFonts w:ascii="Times New Roman" w:eastAsia="Times New Roman" w:hAnsi="Times New Roman" w:cs="Times New Roman"/>
          <w:b/>
          <w:bCs/>
          <w:sz w:val="24"/>
          <w:szCs w:val="24"/>
        </w:rPr>
        <w:t xml:space="preserve">St. Aloysius Institute of Management and Information Technology (AIMIT), St. Aloysius (Deemed </w:t>
      </w:r>
      <w:proofErr w:type="gramStart"/>
      <w:r>
        <w:rPr>
          <w:rFonts w:ascii="Times New Roman" w:eastAsia="Times New Roman" w:hAnsi="Times New Roman" w:cs="Times New Roman"/>
          <w:b/>
          <w:bCs/>
          <w:sz w:val="24"/>
          <w:szCs w:val="24"/>
        </w:rPr>
        <w:t>To</w:t>
      </w:r>
      <w:proofErr w:type="gramEnd"/>
      <w:r>
        <w:rPr>
          <w:rFonts w:ascii="Times New Roman" w:eastAsia="Times New Roman" w:hAnsi="Times New Roman" w:cs="Times New Roman"/>
          <w:b/>
          <w:bCs/>
          <w:sz w:val="24"/>
          <w:szCs w:val="24"/>
        </w:rPr>
        <w:t xml:space="preserve"> Be University)</w:t>
      </w:r>
      <w:r>
        <w:rPr>
          <w:rFonts w:ascii="Times New Roman" w:eastAsia="Times New Roman" w:hAnsi="Times New Roman" w:cs="Times New Roman"/>
          <w:sz w:val="24"/>
          <w:szCs w:val="24"/>
        </w:rPr>
        <w:t xml:space="preserve"> in partial fulfilment of the requirement for the award of the degree of MASTER OF SCIENCE IN BIG DATA ANALYTICS (MSc. BDA) is an original work carried out by </w:t>
      </w:r>
      <w:r>
        <w:rPr>
          <w:rFonts w:ascii="Times New Roman" w:eastAsia="Times New Roman" w:hAnsi="Times New Roman" w:cs="Times New Roman"/>
          <w:b/>
          <w:bCs/>
          <w:sz w:val="24"/>
          <w:szCs w:val="24"/>
          <w:u w:val="single"/>
        </w:rPr>
        <w:t xml:space="preserve">Mr. </w:t>
      </w:r>
      <w:proofErr w:type="spellStart"/>
      <w:r>
        <w:rPr>
          <w:rFonts w:ascii="Times New Roman" w:eastAsia="Times New Roman" w:hAnsi="Times New Roman" w:cs="Times New Roman"/>
          <w:b/>
          <w:bCs/>
          <w:sz w:val="24"/>
          <w:szCs w:val="24"/>
          <w:u w:val="single"/>
        </w:rPr>
        <w:t>Joyston</w:t>
      </w:r>
      <w:proofErr w:type="spellEnd"/>
      <w:r>
        <w:rPr>
          <w:rFonts w:ascii="Times New Roman" w:eastAsia="Times New Roman" w:hAnsi="Times New Roman" w:cs="Times New Roman"/>
          <w:b/>
          <w:bCs/>
          <w:sz w:val="24"/>
          <w:szCs w:val="24"/>
          <w:u w:val="single"/>
        </w:rPr>
        <w:t xml:space="preserve"> Jose D’souza</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Register no. </w:t>
      </w:r>
      <w:r>
        <w:rPr>
          <w:rFonts w:ascii="Times New Roman" w:eastAsia="Times New Roman" w:hAnsi="Times New Roman" w:cs="Times New Roman"/>
          <w:b/>
          <w:bCs/>
          <w:sz w:val="24"/>
          <w:szCs w:val="24"/>
          <w:u w:val="single"/>
        </w:rPr>
        <w:t>24251325</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under my guidance. The matter embodied in this project is authentic and is genuine work done by the student and has not been submitted whether to this University, or to any other University / Institute for the fulfilment of the requirement of any course of study.</w:t>
      </w:r>
    </w:p>
    <w:p w14:paraId="26561779"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4FCF4A0F"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5E58F7C4"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1625FDA3"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4A800B1D"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sectPr w:rsidR="008C0A79">
          <w:pgSz w:w="11909" w:h="16834"/>
          <w:pgMar w:top="400" w:right="845" w:bottom="0" w:left="624" w:header="0" w:footer="0" w:gutter="0"/>
          <w:cols w:space="720"/>
        </w:sectPr>
      </w:pPr>
    </w:p>
    <w:p w14:paraId="2D373A84" w14:textId="77777777" w:rsidR="008C0A79" w:rsidRDefault="00000000">
      <w:pPr>
        <w:widowControl w:val="0"/>
        <w:spacing w:line="360" w:lineRule="auto"/>
        <w:ind w:left="1638"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 of the Student</w:t>
      </w:r>
    </w:p>
    <w:p w14:paraId="3ACCB1C5" w14:textId="77777777" w:rsidR="008C0A79" w:rsidRDefault="00000000">
      <w:pPr>
        <w:widowControl w:val="0"/>
        <w:spacing w:line="360" w:lineRule="auto"/>
        <w:ind w:left="1638"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Date: ___________</w:t>
      </w:r>
    </w:p>
    <w:p w14:paraId="59CCA7E9" w14:textId="77777777" w:rsidR="008C0A79" w:rsidRDefault="00000000">
      <w:pPr>
        <w:widowControl w:val="0"/>
        <w:spacing w:line="360" w:lineRule="auto"/>
        <w:ind w:left="1638" w:right="354"/>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Joyston</w:t>
      </w:r>
      <w:proofErr w:type="spellEnd"/>
      <w:r>
        <w:rPr>
          <w:rFonts w:ascii="Times New Roman" w:eastAsia="Times New Roman" w:hAnsi="Times New Roman" w:cs="Times New Roman"/>
          <w:sz w:val="24"/>
          <w:szCs w:val="24"/>
        </w:rPr>
        <w:t xml:space="preserve"> Jose D’souza</w:t>
      </w:r>
    </w:p>
    <w:p w14:paraId="1B526B37" w14:textId="77777777" w:rsidR="008C0A79" w:rsidRDefault="00000000">
      <w:pPr>
        <w:widowControl w:val="0"/>
        <w:spacing w:line="360" w:lineRule="auto"/>
        <w:ind w:left="1638"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M.Sc. Big Data Analytics</w:t>
      </w:r>
    </w:p>
    <w:p w14:paraId="43E7E117" w14:textId="77777777" w:rsidR="008C0A79" w:rsidRDefault="00000000">
      <w:pPr>
        <w:widowControl w:val="0"/>
        <w:spacing w:line="360" w:lineRule="auto"/>
        <w:ind w:left="1638"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AIMIT, St. Aloysius </w:t>
      </w:r>
    </w:p>
    <w:p w14:paraId="31B30D77" w14:textId="77777777" w:rsidR="008C0A79" w:rsidRDefault="00000000">
      <w:pPr>
        <w:widowControl w:val="0"/>
        <w:spacing w:line="360" w:lineRule="auto"/>
        <w:ind w:left="1638"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(Deemed to be University)</w:t>
      </w:r>
    </w:p>
    <w:p w14:paraId="3D186D77" w14:textId="77777777" w:rsidR="008C0A79" w:rsidRDefault="00000000">
      <w:pPr>
        <w:widowControl w:val="0"/>
        <w:spacing w:line="360" w:lineRule="auto"/>
        <w:ind w:left="1638"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Mangaluru-575022.</w:t>
      </w:r>
    </w:p>
    <w:p w14:paraId="6D2C42E6" w14:textId="77777777" w:rsidR="008C0A79" w:rsidRDefault="00000000">
      <w:pPr>
        <w:widowControl w:val="0"/>
        <w:spacing w:line="360" w:lineRule="auto"/>
        <w:ind w:left="1638" w:right="354"/>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Register Number: </w:t>
      </w:r>
      <w:r>
        <w:rPr>
          <w:rFonts w:ascii="Times New Roman" w:eastAsia="Times New Roman" w:hAnsi="Times New Roman" w:cs="Times New Roman"/>
          <w:sz w:val="24"/>
          <w:szCs w:val="24"/>
          <w:u w:val="single"/>
        </w:rPr>
        <w:t>24251325</w:t>
      </w:r>
    </w:p>
    <w:p w14:paraId="560F5522"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2541E2A1"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6B9FF5D4"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72A6C0D2"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02402D68"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731A9EA8"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5F4595DB"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0B92E906"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1E024554"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582A5931"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6BAC970C"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572B96ED"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3E49EDC5"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35337915" w14:textId="77777777" w:rsidR="008C0A79" w:rsidRDefault="00000000">
      <w:pPr>
        <w:widowControl w:val="0"/>
        <w:spacing w:line="360" w:lineRule="auto"/>
        <w:ind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 of the Guide</w:t>
      </w:r>
    </w:p>
    <w:p w14:paraId="12B8DE4B" w14:textId="77777777" w:rsidR="008C0A79" w:rsidRDefault="00000000">
      <w:pPr>
        <w:widowControl w:val="0"/>
        <w:spacing w:line="360" w:lineRule="auto"/>
        <w:ind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Date: ___________</w:t>
      </w:r>
    </w:p>
    <w:p w14:paraId="5934978B" w14:textId="77777777" w:rsidR="008C0A79" w:rsidRDefault="00000000">
      <w:pPr>
        <w:widowControl w:val="0"/>
        <w:spacing w:line="360" w:lineRule="auto"/>
        <w:ind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Dr. Rakesh Kumar B</w:t>
      </w:r>
    </w:p>
    <w:p w14:paraId="51A6A775" w14:textId="77777777" w:rsidR="008C0A79" w:rsidRDefault="00000000">
      <w:pPr>
        <w:widowControl w:val="0"/>
        <w:spacing w:line="360" w:lineRule="auto"/>
        <w:ind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Associate Professor (Department of BDA),</w:t>
      </w:r>
    </w:p>
    <w:p w14:paraId="017305EE" w14:textId="77777777" w:rsidR="008C0A79" w:rsidRDefault="00000000">
      <w:pPr>
        <w:widowControl w:val="0"/>
        <w:spacing w:line="360" w:lineRule="auto"/>
        <w:ind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Department of </w:t>
      </w:r>
      <w:proofErr w:type="spellStart"/>
      <w:proofErr w:type="gramStart"/>
      <w:r>
        <w:rPr>
          <w:rFonts w:ascii="Times New Roman" w:eastAsia="Times New Roman" w:hAnsi="Times New Roman" w:cs="Times New Roman"/>
          <w:sz w:val="24"/>
          <w:szCs w:val="24"/>
        </w:rPr>
        <w:t>M.Sc</w:t>
      </w:r>
      <w:proofErr w:type="spellEnd"/>
      <w:proofErr w:type="gramEnd"/>
      <w:r>
        <w:rPr>
          <w:rFonts w:ascii="Times New Roman" w:eastAsia="Times New Roman" w:hAnsi="Times New Roman" w:cs="Times New Roman"/>
          <w:sz w:val="24"/>
          <w:szCs w:val="24"/>
        </w:rPr>
        <w:t xml:space="preserve"> (Big Data Analytics)</w:t>
      </w:r>
    </w:p>
    <w:p w14:paraId="34B72772" w14:textId="77777777" w:rsidR="008C0A79" w:rsidRDefault="00000000">
      <w:pPr>
        <w:widowControl w:val="0"/>
        <w:spacing w:line="360" w:lineRule="auto"/>
        <w:ind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AIMIT, St. Aloysius </w:t>
      </w:r>
    </w:p>
    <w:p w14:paraId="71710BCA" w14:textId="77777777" w:rsidR="008C0A79" w:rsidRDefault="00000000">
      <w:pPr>
        <w:widowControl w:val="0"/>
        <w:spacing w:line="360" w:lineRule="auto"/>
        <w:ind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(Deemed To Be University), </w:t>
      </w:r>
    </w:p>
    <w:p w14:paraId="18DE45C0" w14:textId="77777777" w:rsidR="008C0A79" w:rsidRDefault="00000000">
      <w:pPr>
        <w:widowControl w:val="0"/>
        <w:spacing w:line="360" w:lineRule="auto"/>
        <w:ind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Mangaluru-575022.</w:t>
      </w:r>
    </w:p>
    <w:p w14:paraId="22268E46" w14:textId="77777777" w:rsidR="008C0A79" w:rsidRDefault="008C0A79">
      <w:pPr>
        <w:spacing w:line="270" w:lineRule="auto"/>
        <w:rPr>
          <w:sz w:val="21"/>
          <w:szCs w:val="21"/>
        </w:rPr>
      </w:pPr>
    </w:p>
    <w:p w14:paraId="3C2CDDC2" w14:textId="77777777" w:rsidR="008C0A79" w:rsidRDefault="008C0A79">
      <w:pPr>
        <w:spacing w:line="240" w:lineRule="auto"/>
        <w:rPr>
          <w:rFonts w:ascii="Times New Roman" w:eastAsia="Times New Roman" w:hAnsi="Times New Roman" w:cs="Times New Roman"/>
          <w:b/>
          <w:bCs/>
          <w:sz w:val="24"/>
          <w:szCs w:val="24"/>
        </w:rPr>
        <w:sectPr w:rsidR="008C0A79">
          <w:type w:val="continuous"/>
          <w:pgSz w:w="11909" w:h="16834"/>
          <w:pgMar w:top="400" w:right="845" w:bottom="0" w:left="624" w:header="0" w:footer="0" w:gutter="0"/>
          <w:cols w:num="2" w:space="720" w:equalWidth="0">
            <w:col w:w="4858" w:space="720"/>
            <w:col w:w="4858" w:space="0"/>
          </w:cols>
        </w:sectPr>
      </w:pPr>
    </w:p>
    <w:p w14:paraId="20443C83" w14:textId="77777777" w:rsidR="008C0A79" w:rsidRDefault="00000000">
      <w:pPr>
        <w:spacing w:before="69" w:line="18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Project Proposal Report / Synopsis</w:t>
      </w:r>
    </w:p>
    <w:p w14:paraId="74D229AE" w14:textId="77777777" w:rsidR="008C0A79" w:rsidRDefault="008C0A79">
      <w:pPr>
        <w:spacing w:line="306" w:lineRule="auto"/>
        <w:rPr>
          <w:sz w:val="21"/>
          <w:szCs w:val="21"/>
        </w:rPr>
      </w:pPr>
    </w:p>
    <w:p w14:paraId="3D95EBFA" w14:textId="77777777" w:rsidR="008C0A79" w:rsidRDefault="008C0A79">
      <w:pPr>
        <w:spacing w:line="306" w:lineRule="auto"/>
        <w:rPr>
          <w:sz w:val="21"/>
          <w:szCs w:val="21"/>
        </w:rPr>
      </w:pPr>
    </w:p>
    <w:p w14:paraId="3B8AA1B9" w14:textId="77777777" w:rsidR="008C0A79" w:rsidRDefault="008C0A79">
      <w:pPr>
        <w:spacing w:line="306" w:lineRule="auto"/>
        <w:rPr>
          <w:sz w:val="21"/>
          <w:szCs w:val="21"/>
        </w:rPr>
      </w:pPr>
    </w:p>
    <w:p w14:paraId="506B101F" w14:textId="77777777" w:rsidR="008C0A79" w:rsidRDefault="00000000">
      <w:pPr>
        <w:spacing w:before="69" w:line="23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for</w:t>
      </w:r>
    </w:p>
    <w:p w14:paraId="36564DE7" w14:textId="77777777" w:rsidR="008C0A79" w:rsidRDefault="008C0A79">
      <w:pPr>
        <w:spacing w:line="242" w:lineRule="auto"/>
        <w:rPr>
          <w:sz w:val="21"/>
          <w:szCs w:val="21"/>
        </w:rPr>
      </w:pPr>
    </w:p>
    <w:p w14:paraId="27F76C30" w14:textId="77777777" w:rsidR="008C0A79" w:rsidRDefault="008C0A79">
      <w:pPr>
        <w:spacing w:line="242" w:lineRule="auto"/>
        <w:rPr>
          <w:sz w:val="21"/>
          <w:szCs w:val="21"/>
        </w:rPr>
      </w:pPr>
    </w:p>
    <w:p w14:paraId="59FE3C09" w14:textId="77777777" w:rsidR="008C0A79" w:rsidRDefault="008C0A79">
      <w:pPr>
        <w:spacing w:line="242" w:lineRule="auto"/>
        <w:rPr>
          <w:sz w:val="21"/>
          <w:szCs w:val="21"/>
        </w:rPr>
      </w:pPr>
    </w:p>
    <w:p w14:paraId="095213DE" w14:textId="77777777" w:rsidR="008C0A79" w:rsidRDefault="008C0A79">
      <w:pPr>
        <w:spacing w:line="244" w:lineRule="auto"/>
        <w:rPr>
          <w:rFonts w:ascii="Times New Roman" w:eastAsia="Times New Roman" w:hAnsi="Times New Roman" w:cs="Times New Roman"/>
          <w:sz w:val="24"/>
          <w:szCs w:val="24"/>
        </w:rPr>
      </w:pPr>
    </w:p>
    <w:p w14:paraId="2CD0E306" w14:textId="77777777" w:rsidR="008C0A79" w:rsidRDefault="00000000">
      <w:pPr>
        <w:spacing w:after="160" w:line="259"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Time Series Forecasting </w:t>
      </w:r>
      <w:proofErr w:type="gramStart"/>
      <w:r>
        <w:rPr>
          <w:rFonts w:ascii="Times New Roman" w:eastAsia="Times New Roman" w:hAnsi="Times New Roman" w:cs="Times New Roman"/>
          <w:b/>
          <w:bCs/>
          <w:sz w:val="28"/>
          <w:szCs w:val="28"/>
        </w:rPr>
        <w:t>For</w:t>
      </w:r>
      <w:proofErr w:type="gramEnd"/>
      <w:r>
        <w:rPr>
          <w:rFonts w:ascii="Times New Roman" w:eastAsia="Times New Roman" w:hAnsi="Times New Roman" w:cs="Times New Roman"/>
          <w:b/>
          <w:bCs/>
          <w:sz w:val="28"/>
          <w:szCs w:val="28"/>
        </w:rPr>
        <w:t xml:space="preserve"> Predicting Long-Term Gold Price</w:t>
      </w:r>
    </w:p>
    <w:p w14:paraId="64A21992" w14:textId="77777777" w:rsidR="008C0A79" w:rsidRDefault="008C0A79">
      <w:pPr>
        <w:spacing w:line="303" w:lineRule="auto"/>
        <w:rPr>
          <w:sz w:val="21"/>
          <w:szCs w:val="21"/>
        </w:rPr>
      </w:pPr>
    </w:p>
    <w:p w14:paraId="39BBDF50" w14:textId="77777777" w:rsidR="008C0A79" w:rsidRDefault="008C0A79">
      <w:pPr>
        <w:spacing w:line="303" w:lineRule="auto"/>
        <w:rPr>
          <w:sz w:val="21"/>
          <w:szCs w:val="21"/>
        </w:rPr>
      </w:pPr>
    </w:p>
    <w:p w14:paraId="7772E1C4" w14:textId="77777777" w:rsidR="008C0A79" w:rsidRDefault="00000000">
      <w:pPr>
        <w:spacing w:before="69" w:line="228" w:lineRule="auto"/>
        <w:ind w:left="3435"/>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Joyston</w:t>
      </w:r>
      <w:proofErr w:type="spellEnd"/>
      <w:r>
        <w:rPr>
          <w:rFonts w:ascii="Times New Roman" w:eastAsia="Times New Roman" w:hAnsi="Times New Roman" w:cs="Times New Roman"/>
          <w:b/>
          <w:bCs/>
          <w:sz w:val="24"/>
          <w:szCs w:val="24"/>
        </w:rPr>
        <w:t xml:space="preserve"> Jose D’Souza</w:t>
      </w:r>
    </w:p>
    <w:p w14:paraId="0D4C1704" w14:textId="77777777" w:rsidR="008C0A79" w:rsidRDefault="00000000">
      <w:pPr>
        <w:spacing w:before="4" w:line="190" w:lineRule="auto"/>
        <w:ind w:left="4011" w:firstLine="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24251325</w:t>
      </w:r>
    </w:p>
    <w:p w14:paraId="3B1B9CD7" w14:textId="77777777" w:rsidR="008C0A79" w:rsidRDefault="00000000">
      <w:pPr>
        <w:spacing w:before="4" w:line="190" w:lineRule="auto"/>
        <w:ind w:firstLine="34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MSc. Big Data Analytics</w:t>
      </w:r>
    </w:p>
    <w:p w14:paraId="2D5CBA46" w14:textId="77777777" w:rsidR="008C0A79" w:rsidRDefault="00000000">
      <w:pPr>
        <w:spacing w:before="4" w:line="190" w:lineRule="auto"/>
        <w:ind w:left="500" w:firstLine="5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 Aloysius Institute </w:t>
      </w:r>
      <w:proofErr w:type="gramStart"/>
      <w:r>
        <w:rPr>
          <w:rFonts w:ascii="Times New Roman" w:eastAsia="Times New Roman" w:hAnsi="Times New Roman" w:cs="Times New Roman"/>
          <w:sz w:val="24"/>
          <w:szCs w:val="24"/>
        </w:rPr>
        <w:t>Of</w:t>
      </w:r>
      <w:proofErr w:type="gramEnd"/>
      <w:r>
        <w:rPr>
          <w:rFonts w:ascii="Times New Roman" w:eastAsia="Times New Roman" w:hAnsi="Times New Roman" w:cs="Times New Roman"/>
          <w:sz w:val="24"/>
          <w:szCs w:val="24"/>
        </w:rPr>
        <w:t xml:space="preserve"> Management and Information Technology (AIMIT) </w:t>
      </w:r>
    </w:p>
    <w:p w14:paraId="5962E4EC" w14:textId="77777777" w:rsidR="008C0A79" w:rsidRDefault="00000000">
      <w:pPr>
        <w:spacing w:line="240" w:lineRule="auto"/>
        <w:ind w:left="2000" w:right="1199" w:firstLine="5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 ALOYSIUS (DEEMED TO BE UNIVERSITY) </w:t>
      </w:r>
    </w:p>
    <w:p w14:paraId="41F5153D" w14:textId="77777777" w:rsidR="008C0A79" w:rsidRDefault="00000000">
      <w:pPr>
        <w:spacing w:before="58" w:line="190" w:lineRule="auto"/>
        <w:ind w:left="2000" w:firstLine="129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Beeri, </w:t>
      </w:r>
      <w:proofErr w:type="spellStart"/>
      <w:r>
        <w:rPr>
          <w:rFonts w:ascii="Times New Roman" w:eastAsia="Times New Roman" w:hAnsi="Times New Roman" w:cs="Times New Roman"/>
          <w:sz w:val="24"/>
          <w:szCs w:val="24"/>
        </w:rPr>
        <w:t>Kotekar</w:t>
      </w:r>
      <w:proofErr w:type="spellEnd"/>
      <w:r>
        <w:rPr>
          <w:rFonts w:ascii="Times New Roman" w:eastAsia="Times New Roman" w:hAnsi="Times New Roman" w:cs="Times New Roman"/>
          <w:sz w:val="24"/>
          <w:szCs w:val="24"/>
        </w:rPr>
        <w:t>, Mangalore - 575022</w:t>
      </w:r>
    </w:p>
    <w:p w14:paraId="723CA763" w14:textId="77777777" w:rsidR="008C0A79" w:rsidRDefault="008C0A79">
      <w:pPr>
        <w:spacing w:line="270" w:lineRule="auto"/>
        <w:rPr>
          <w:sz w:val="21"/>
          <w:szCs w:val="21"/>
        </w:rPr>
      </w:pPr>
    </w:p>
    <w:p w14:paraId="1BEE8631" w14:textId="77777777" w:rsidR="008C0A79" w:rsidRDefault="008C0A79">
      <w:pPr>
        <w:spacing w:line="271" w:lineRule="auto"/>
        <w:rPr>
          <w:sz w:val="21"/>
          <w:szCs w:val="21"/>
        </w:rPr>
      </w:pPr>
    </w:p>
    <w:p w14:paraId="289EB7C8" w14:textId="77777777" w:rsidR="008C0A79" w:rsidRDefault="008C0A79">
      <w:pPr>
        <w:spacing w:line="271" w:lineRule="auto"/>
        <w:rPr>
          <w:sz w:val="21"/>
          <w:szCs w:val="21"/>
        </w:rPr>
      </w:pPr>
    </w:p>
    <w:p w14:paraId="6BFD2D0D" w14:textId="77777777" w:rsidR="008C0A79" w:rsidRDefault="00000000">
      <w:pPr>
        <w:spacing w:before="69" w:line="190" w:lineRule="auto"/>
        <w:ind w:left="3650"/>
        <w:rPr>
          <w:rFonts w:ascii="Times New Roman" w:eastAsia="Times New Roman" w:hAnsi="Times New Roman" w:cs="Times New Roman"/>
          <w:sz w:val="24"/>
          <w:szCs w:val="24"/>
        </w:rPr>
      </w:pPr>
      <w:r>
        <w:rPr>
          <w:rFonts w:ascii="Times New Roman" w:eastAsia="Times New Roman" w:hAnsi="Times New Roman" w:cs="Times New Roman"/>
          <w:sz w:val="24"/>
          <w:szCs w:val="24"/>
        </w:rPr>
        <w:t>Under the guidance of</w:t>
      </w:r>
    </w:p>
    <w:p w14:paraId="6AB62ACE" w14:textId="77777777" w:rsidR="008C0A79" w:rsidRDefault="00000000">
      <w:pPr>
        <w:spacing w:before="205" w:line="187" w:lineRule="auto"/>
        <w:ind w:left="2500" w:firstLine="1172"/>
        <w:rPr>
          <w:rFonts w:ascii="Times New Roman" w:eastAsia="Times New Roman" w:hAnsi="Times New Roman" w:cs="Times New Roman"/>
          <w:b/>
          <w:bCs/>
          <w:sz w:val="24"/>
          <w:szCs w:val="24"/>
        </w:rPr>
      </w:pPr>
      <w:bookmarkStart w:id="0" w:name="_b49n8vb3gwdo" w:colFirst="0" w:colLast="0"/>
      <w:bookmarkEnd w:id="0"/>
      <w:r>
        <w:rPr>
          <w:rFonts w:ascii="Times New Roman" w:eastAsia="Times New Roman" w:hAnsi="Times New Roman" w:cs="Times New Roman"/>
          <w:b/>
          <w:bCs/>
          <w:sz w:val="24"/>
          <w:szCs w:val="24"/>
        </w:rPr>
        <w:t>Dr.  Rakesh Kumar B</w:t>
      </w:r>
    </w:p>
    <w:p w14:paraId="69950E01" w14:textId="77777777" w:rsidR="008C0A79" w:rsidRDefault="00000000">
      <w:pPr>
        <w:spacing w:before="4" w:line="190" w:lineRule="auto"/>
        <w:ind w:left="2500" w:firstLine="5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Associate Professor (Department of BDA)</w:t>
      </w:r>
    </w:p>
    <w:p w14:paraId="16472F28" w14:textId="77777777" w:rsidR="008C0A79" w:rsidRDefault="00000000">
      <w:pPr>
        <w:spacing w:before="4" w:line="190" w:lineRule="auto"/>
        <w:ind w:firstLine="9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 Aloysius Institute </w:t>
      </w:r>
      <w:proofErr w:type="gramStart"/>
      <w:r>
        <w:rPr>
          <w:rFonts w:ascii="Times New Roman" w:eastAsia="Times New Roman" w:hAnsi="Times New Roman" w:cs="Times New Roman"/>
          <w:sz w:val="24"/>
          <w:szCs w:val="24"/>
        </w:rPr>
        <w:t>Of</w:t>
      </w:r>
      <w:proofErr w:type="gramEnd"/>
      <w:r>
        <w:rPr>
          <w:rFonts w:ascii="Times New Roman" w:eastAsia="Times New Roman" w:hAnsi="Times New Roman" w:cs="Times New Roman"/>
          <w:sz w:val="24"/>
          <w:szCs w:val="24"/>
        </w:rPr>
        <w:t xml:space="preserve"> Management and Information Technology (AIMIT) </w:t>
      </w:r>
    </w:p>
    <w:p w14:paraId="43E8CF7F" w14:textId="77777777" w:rsidR="008C0A79" w:rsidRDefault="00000000">
      <w:pPr>
        <w:spacing w:line="240" w:lineRule="auto"/>
        <w:ind w:left="2000" w:right="1199" w:firstLine="5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 ALOYSIUS (DEEMED TO BE UNIVERSITY) </w:t>
      </w:r>
    </w:p>
    <w:p w14:paraId="556D1D4B" w14:textId="77777777" w:rsidR="008C0A79" w:rsidRDefault="00000000">
      <w:pPr>
        <w:spacing w:before="58" w:line="190" w:lineRule="auto"/>
        <w:ind w:left="2000" w:firstLine="129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Beeri, </w:t>
      </w:r>
      <w:proofErr w:type="spellStart"/>
      <w:r>
        <w:rPr>
          <w:rFonts w:ascii="Times New Roman" w:eastAsia="Times New Roman" w:hAnsi="Times New Roman" w:cs="Times New Roman"/>
          <w:sz w:val="24"/>
          <w:szCs w:val="24"/>
        </w:rPr>
        <w:t>Kotekar</w:t>
      </w:r>
      <w:proofErr w:type="spellEnd"/>
      <w:r>
        <w:rPr>
          <w:rFonts w:ascii="Times New Roman" w:eastAsia="Times New Roman" w:hAnsi="Times New Roman" w:cs="Times New Roman"/>
          <w:sz w:val="24"/>
          <w:szCs w:val="24"/>
        </w:rPr>
        <w:t>, Mangalore - 575022</w:t>
      </w:r>
    </w:p>
    <w:p w14:paraId="56099E23" w14:textId="77777777" w:rsidR="008C0A79" w:rsidRDefault="008C0A79">
      <w:pPr>
        <w:spacing w:line="270" w:lineRule="auto"/>
        <w:rPr>
          <w:sz w:val="21"/>
          <w:szCs w:val="21"/>
        </w:rPr>
      </w:pPr>
    </w:p>
    <w:p w14:paraId="4A048107" w14:textId="77777777" w:rsidR="008C0A79" w:rsidRDefault="008C0A79">
      <w:pPr>
        <w:spacing w:line="270" w:lineRule="auto"/>
        <w:rPr>
          <w:sz w:val="21"/>
          <w:szCs w:val="21"/>
        </w:rPr>
      </w:pPr>
    </w:p>
    <w:p w14:paraId="29D6BAFE" w14:textId="77777777" w:rsidR="008C0A79" w:rsidRDefault="00000000">
      <w:pPr>
        <w:spacing w:before="70" w:line="232" w:lineRule="auto"/>
        <w:ind w:left="36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Submitted to</w:t>
      </w:r>
    </w:p>
    <w:p w14:paraId="2DD066C2" w14:textId="77777777" w:rsidR="008C0A79" w:rsidRDefault="008C0A79">
      <w:pPr>
        <w:spacing w:before="70" w:line="232" w:lineRule="auto"/>
        <w:ind w:left="4115"/>
        <w:rPr>
          <w:rFonts w:ascii="Times New Roman" w:eastAsia="Times New Roman" w:hAnsi="Times New Roman" w:cs="Times New Roman"/>
          <w:sz w:val="24"/>
          <w:szCs w:val="24"/>
        </w:rPr>
      </w:pPr>
    </w:p>
    <w:p w14:paraId="2F02FB11" w14:textId="77777777" w:rsidR="008C0A79" w:rsidRDefault="008C0A79">
      <w:pPr>
        <w:spacing w:before="70" w:line="232" w:lineRule="auto"/>
        <w:rPr>
          <w:rFonts w:ascii="Times New Roman" w:eastAsia="Times New Roman" w:hAnsi="Times New Roman" w:cs="Times New Roman"/>
          <w:sz w:val="24"/>
          <w:szCs w:val="24"/>
        </w:rPr>
      </w:pPr>
    </w:p>
    <w:p w14:paraId="206685CE" w14:textId="77777777" w:rsidR="008C0A79" w:rsidRDefault="00000000">
      <w:pPr>
        <w:spacing w:before="108" w:line="187" w:lineRule="auto"/>
        <w:jc w:val="center"/>
        <w:rPr>
          <w:rFonts w:ascii="Times New Roman" w:eastAsia="Times New Roman" w:hAnsi="Times New Roman" w:cs="Times New Roman"/>
          <w:b/>
          <w:bCs/>
          <w:sz w:val="24"/>
          <w:szCs w:val="24"/>
        </w:rPr>
      </w:pPr>
      <w:r>
        <w:rPr>
          <w:noProof/>
        </w:rPr>
        <w:drawing>
          <wp:inline distT="114300" distB="114300" distL="114300" distR="114300" wp14:anchorId="73DD9C44" wp14:editId="17C0C8C1">
            <wp:extent cx="2800350" cy="9525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800350" cy="952500"/>
                    </a:xfrm>
                    <a:prstGeom prst="rect">
                      <a:avLst/>
                    </a:prstGeom>
                    <a:ln/>
                  </pic:spPr>
                </pic:pic>
              </a:graphicData>
            </a:graphic>
          </wp:inline>
        </w:drawing>
      </w:r>
      <w:r>
        <w:br w:type="page"/>
      </w:r>
    </w:p>
    <w:p w14:paraId="18280662" w14:textId="77777777" w:rsidR="008C0A79" w:rsidRDefault="00000000">
      <w:pPr>
        <w:tabs>
          <w:tab w:val="center" w:pos="4513"/>
          <w:tab w:val="left" w:pos="6984"/>
        </w:tabs>
        <w:spacing w:after="160" w:line="259"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rPr>
        <w:lastRenderedPageBreak/>
        <w:t>ABSTRACT</w:t>
      </w:r>
    </w:p>
    <w:p w14:paraId="52898936" w14:textId="77777777" w:rsidR="008C0A79" w:rsidRDefault="00000000">
      <w:pPr>
        <w:tabs>
          <w:tab w:val="center" w:pos="4513"/>
          <w:tab w:val="left" w:pos="6984"/>
        </w:tabs>
        <w:spacing w:after="160" w:line="259" w:lineRule="auto"/>
        <w:jc w:val="both"/>
        <w:rPr>
          <w:rFonts w:ascii="Times New Roman" w:eastAsia="Times New Roman" w:hAnsi="Times New Roman" w:cs="Times New Roman"/>
        </w:rPr>
      </w:pPr>
      <w:r>
        <w:rPr>
          <w:rFonts w:ascii="Times New Roman" w:eastAsia="Times New Roman" w:hAnsi="Times New Roman" w:cs="Times New Roman"/>
        </w:rPr>
        <w:t>The accurate prediction of gold price is a crucial task for investment decisions and has a considerable impact on investors, policymakers, financial Institutes and countries that depend on mineral resources, yet it remains a significant challenge due to its inherent volatility and complex, non-linear dynamics. Therefore, understanding the future price movement is important for revenue-based planning for investors, companies and also the country. This research focuses on applying Machine Learning techniques for predicting the Gold Price and providing a comparative analysis of the 4 ML algorithms for long-term gold price forecasting namely SARIMA, ARIMA, LINEAR REGRESSION, SVM (kernel used are RBF, Linear and Polynomial). Utilizing a comprehensive dataset of gold prices from August 2000 to August 2025 which was pre-processed by resampling into monthly averages to model long-team trends. All the models were trained on the historical monthly data and employed to generate a 60-month (5-year) forecast, from September 2025 to August 2030.</w:t>
      </w:r>
    </w:p>
    <w:p w14:paraId="0161AB85" w14:textId="77777777" w:rsidR="008C0A79" w:rsidRDefault="00000000">
      <w:pPr>
        <w:tabs>
          <w:tab w:val="center" w:pos="4513"/>
          <w:tab w:val="left" w:pos="6984"/>
        </w:tabs>
        <w:spacing w:after="160" w:line="259" w:lineRule="auto"/>
        <w:jc w:val="both"/>
        <w:rPr>
          <w:rFonts w:ascii="Times New Roman" w:eastAsia="Times New Roman" w:hAnsi="Times New Roman" w:cs="Times New Roman"/>
          <w:sz w:val="26"/>
          <w:szCs w:val="26"/>
        </w:rPr>
      </w:pPr>
      <w:r>
        <w:rPr>
          <w:rFonts w:ascii="Times New Roman" w:eastAsia="Times New Roman" w:hAnsi="Times New Roman" w:cs="Times New Roman"/>
          <w:i/>
          <w:iCs/>
        </w:rPr>
        <w:t>Keywords—Time Series Forecasting, SARIMA, ARIMA, LINEAR REGRESSION, SVM</w:t>
      </w:r>
      <w:r>
        <w:rPr>
          <w:rFonts w:ascii="Times New Roman" w:eastAsia="Times New Roman" w:hAnsi="Times New Roman" w:cs="Times New Roman"/>
        </w:rPr>
        <w:t xml:space="preserve"> </w:t>
      </w:r>
    </w:p>
    <w:p w14:paraId="1AFDCB0F" w14:textId="77777777" w:rsidR="008C0A79" w:rsidRDefault="00000000">
      <w:pPr>
        <w:spacing w:before="14" w:line="195" w:lineRule="auto"/>
        <w:rPr>
          <w:rFonts w:ascii="Times New Roman" w:eastAsia="Times New Roman" w:hAnsi="Times New Roman" w:cs="Times New Roman"/>
          <w:b/>
          <w:bCs/>
        </w:rPr>
      </w:pPr>
      <w:r>
        <w:br w:type="page"/>
      </w:r>
    </w:p>
    <w:p w14:paraId="1563CBB4" w14:textId="77777777" w:rsidR="008C0A79" w:rsidRDefault="008C0A79">
      <w:pPr>
        <w:spacing w:before="14" w:line="195" w:lineRule="auto"/>
        <w:jc w:val="center"/>
        <w:rPr>
          <w:rFonts w:ascii="Times New Roman" w:eastAsia="Times New Roman" w:hAnsi="Times New Roman" w:cs="Times New Roman"/>
          <w:b/>
          <w:bCs/>
          <w:sz w:val="28"/>
          <w:szCs w:val="28"/>
        </w:rPr>
      </w:pPr>
    </w:p>
    <w:p w14:paraId="308A81C9" w14:textId="77777777" w:rsidR="008C0A79" w:rsidRDefault="00000000">
      <w:pPr>
        <w:spacing w:before="14" w:line="195"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INDEX</w:t>
      </w:r>
    </w:p>
    <w:p w14:paraId="4CA1BF7E" w14:textId="77777777" w:rsidR="008C0A79" w:rsidRDefault="008C0A79">
      <w:pPr>
        <w:spacing w:before="14" w:line="195" w:lineRule="auto"/>
        <w:jc w:val="center"/>
        <w:rPr>
          <w:rFonts w:ascii="Times New Roman" w:eastAsia="Times New Roman" w:hAnsi="Times New Roman" w:cs="Times New Roman"/>
          <w:b/>
          <w:bCs/>
          <w:sz w:val="28"/>
          <w:szCs w:val="28"/>
        </w:rPr>
      </w:pPr>
    </w:p>
    <w:p w14:paraId="743C2132" w14:textId="77777777" w:rsidR="008C0A79" w:rsidRDefault="008C0A79">
      <w:pPr>
        <w:spacing w:before="14" w:line="195" w:lineRule="auto"/>
        <w:rPr>
          <w:rFonts w:ascii="Times New Roman" w:eastAsia="Times New Roman" w:hAnsi="Times New Roman" w:cs="Times New Roman"/>
          <w:b/>
          <w:bCs/>
          <w:sz w:val="28"/>
          <w:szCs w:val="28"/>
        </w:rPr>
      </w:pPr>
    </w:p>
    <w:p w14:paraId="41D26A35" w14:textId="77777777" w:rsidR="008C0A79" w:rsidRDefault="00000000">
      <w:pPr>
        <w:numPr>
          <w:ilvl w:val="0"/>
          <w:numId w:val="4"/>
        </w:numPr>
        <w:spacing w:before="14" w:line="195"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Introduction</w:t>
      </w:r>
    </w:p>
    <w:p w14:paraId="40415496" w14:textId="77777777" w:rsidR="008C0A79" w:rsidRDefault="00000000">
      <w:pPr>
        <w:numPr>
          <w:ilvl w:val="1"/>
          <w:numId w:val="4"/>
        </w:numPr>
        <w:spacing w:line="195"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Overview / Background</w:t>
      </w:r>
      <w:r>
        <w:br w:type="page"/>
      </w:r>
    </w:p>
    <w:p w14:paraId="2556D676" w14:textId="77777777" w:rsidR="008C0A79" w:rsidRDefault="00000000">
      <w:pPr>
        <w:spacing w:before="14" w:line="195"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CHAPTER 1</w:t>
      </w:r>
    </w:p>
    <w:p w14:paraId="0F6E29CA" w14:textId="77777777" w:rsidR="008C0A79" w:rsidRDefault="008C0A79">
      <w:pPr>
        <w:spacing w:before="14" w:line="195" w:lineRule="auto"/>
        <w:jc w:val="center"/>
        <w:rPr>
          <w:rFonts w:ascii="Times New Roman" w:eastAsia="Times New Roman" w:hAnsi="Times New Roman" w:cs="Times New Roman"/>
          <w:b/>
          <w:bCs/>
        </w:rPr>
      </w:pPr>
    </w:p>
    <w:p w14:paraId="1045D159" w14:textId="77777777" w:rsidR="008C0A79" w:rsidRDefault="00000000">
      <w:pPr>
        <w:spacing w:before="14" w:line="195"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INTRODUCTION</w:t>
      </w:r>
    </w:p>
    <w:p w14:paraId="617D0830" w14:textId="77777777" w:rsidR="008C0A79" w:rsidRDefault="008C0A79">
      <w:pPr>
        <w:spacing w:before="14" w:line="195" w:lineRule="auto"/>
        <w:ind w:left="720"/>
        <w:jc w:val="center"/>
        <w:rPr>
          <w:rFonts w:ascii="Times New Roman" w:eastAsia="Times New Roman" w:hAnsi="Times New Roman" w:cs="Times New Roman"/>
          <w:b/>
          <w:bCs/>
        </w:rPr>
      </w:pPr>
    </w:p>
    <w:p w14:paraId="14B016DF" w14:textId="77777777" w:rsidR="008C0A79" w:rsidRDefault="008C0A79">
      <w:pPr>
        <w:spacing w:before="14" w:line="195" w:lineRule="auto"/>
        <w:ind w:left="720"/>
        <w:rPr>
          <w:rFonts w:ascii="Times New Roman" w:eastAsia="Times New Roman" w:hAnsi="Times New Roman" w:cs="Times New Roman"/>
          <w:b/>
          <w:bCs/>
        </w:rPr>
      </w:pPr>
    </w:p>
    <w:p w14:paraId="426A1F09" w14:textId="77777777" w:rsidR="008C0A79" w:rsidRDefault="00000000">
      <w:pPr>
        <w:numPr>
          <w:ilvl w:val="1"/>
          <w:numId w:val="1"/>
        </w:numPr>
        <w:spacing w:before="14" w:line="195" w:lineRule="auto"/>
        <w:rPr>
          <w:rFonts w:ascii="Times New Roman" w:eastAsia="Times New Roman" w:hAnsi="Times New Roman" w:cs="Times New Roman"/>
          <w:b/>
          <w:bCs/>
        </w:rPr>
      </w:pPr>
      <w:r>
        <w:rPr>
          <w:rFonts w:ascii="Times New Roman" w:eastAsia="Times New Roman" w:hAnsi="Times New Roman" w:cs="Times New Roman"/>
          <w:b/>
          <w:bCs/>
        </w:rPr>
        <w:t>OVERVIEW</w:t>
      </w:r>
    </w:p>
    <w:p w14:paraId="7C3574AE" w14:textId="77777777" w:rsidR="008C0A79" w:rsidRDefault="008C0A79">
      <w:pPr>
        <w:spacing w:before="14" w:line="195" w:lineRule="auto"/>
        <w:ind w:left="1440"/>
        <w:rPr>
          <w:rFonts w:ascii="Times New Roman" w:eastAsia="Times New Roman" w:hAnsi="Times New Roman" w:cs="Times New Roman"/>
          <w:b/>
          <w:bCs/>
        </w:rPr>
      </w:pPr>
    </w:p>
    <w:p w14:paraId="29CA444D" w14:textId="77777777" w:rsidR="008C0A79" w:rsidRDefault="00000000">
      <w:pPr>
        <w:tabs>
          <w:tab w:val="center" w:pos="4513"/>
          <w:tab w:val="left" w:pos="6984"/>
        </w:tabs>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Gold has always been a key part of the global financial system. Historically, it was used for trade, and today, central banks around the world hold it to manage inflation, secure foreign debts, and show a nation's financial strength. For corporations and individual investors, gold acts as a vital "safe haven" asset, especially during times of political unrest or economic instability, such as pandemics [1]. This dual role as a strategic reserve and a popular investment makes accurately predicting its price a major challenge for both policymakers and investors. The task becomes even harder due to the price's natural volatility and its complex, non-linear nature. Gold prices depend on many factors, such as global economic performance, stock indices like the S&amp;P 500, bond yields, the US Dollar Index, and other commodities [2, 3].</w:t>
      </w:r>
    </w:p>
    <w:p w14:paraId="4FAB1903" w14:textId="77777777" w:rsidR="008C0A79" w:rsidRDefault="00000000">
      <w:pPr>
        <w:tabs>
          <w:tab w:val="center" w:pos="4513"/>
          <w:tab w:val="left" w:pos="6984"/>
        </w:tabs>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Due to this complexity, a wealth of research has emerged to find the most reliable forecasting methods [4, 5], sparking a lively debate between traditional econometric models and modern machine learning (ML) techniques [6-8]. Statistical methods like the Autoregressive Integrated Moving Average (ARIMA) and its seasonal variations (SARIMA) are often used because they can model time-series trends [9, 10]. At the same time, ML models, including Support Vector Regression (SVR)—which is known for its effectiveness with non-linear kernels [10]—as well as Linear Regression and other methods [11-15], have gained prominence. The main goal of this research is to predict the price of gold five years from now. While we recognize that market forecasts are always changing, this analysis specifically targets a five-year prediction that will end in August 2030.</w:t>
      </w:r>
    </w:p>
    <w:p w14:paraId="71EB562A" w14:textId="77777777" w:rsidR="008C0A79" w:rsidRDefault="00000000">
      <w:pPr>
        <w:tabs>
          <w:tab w:val="center" w:pos="4513"/>
          <w:tab w:val="left" w:pos="6984"/>
        </w:tabs>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Using a consistent dataset of monthly average gold prices from August 2000 to August 2025, our research tests and evaluates four different models: ARIMA, SARIMA (which includes the S&amp;P 500 and US Dollar Index), Linear Regression, and Support Vector Regression (with linear, poly, and RBF kernels). Our results show a significant difference in the 5-year forecasts for 2025-2030. This analysis implies that while ML models may be powerful, traditional seasonal time-series models were the most effective in capturing the long-term momentum in this historical dataset.</w:t>
      </w:r>
    </w:p>
    <w:p w14:paraId="6C556D6F" w14:textId="77777777" w:rsidR="008C0A79" w:rsidRDefault="008C0A79">
      <w:pPr>
        <w:spacing w:before="14" w:line="195" w:lineRule="auto"/>
        <w:ind w:left="1440"/>
        <w:rPr>
          <w:rFonts w:ascii="Times New Roman" w:eastAsia="Times New Roman" w:hAnsi="Times New Roman" w:cs="Times New Roman"/>
          <w:b/>
          <w:bCs/>
        </w:rPr>
      </w:pPr>
    </w:p>
    <w:p w14:paraId="245435FC" w14:textId="77777777" w:rsidR="008C0A79" w:rsidRDefault="008C0A79">
      <w:pPr>
        <w:spacing w:before="14" w:line="195" w:lineRule="auto"/>
        <w:ind w:left="1440"/>
        <w:rPr>
          <w:rFonts w:ascii="Times New Roman" w:eastAsia="Times New Roman" w:hAnsi="Times New Roman" w:cs="Times New Roman"/>
          <w:b/>
          <w:bCs/>
        </w:rPr>
      </w:pPr>
    </w:p>
    <w:p w14:paraId="4DA7C55C" w14:textId="77777777" w:rsidR="008C0A79" w:rsidRDefault="00000000">
      <w:pPr>
        <w:numPr>
          <w:ilvl w:val="1"/>
          <w:numId w:val="1"/>
        </w:numPr>
        <w:spacing w:before="14" w:line="195" w:lineRule="auto"/>
        <w:rPr>
          <w:rFonts w:ascii="Times New Roman" w:eastAsia="Times New Roman" w:hAnsi="Times New Roman" w:cs="Times New Roman"/>
          <w:b/>
          <w:bCs/>
        </w:rPr>
      </w:pPr>
      <w:r>
        <w:rPr>
          <w:rFonts w:ascii="Times New Roman" w:eastAsia="Times New Roman" w:hAnsi="Times New Roman" w:cs="Times New Roman"/>
          <w:b/>
          <w:bCs/>
        </w:rPr>
        <w:t xml:space="preserve">Problem Statement </w:t>
      </w:r>
    </w:p>
    <w:p w14:paraId="384B38D5" w14:textId="77777777" w:rsidR="008C0A79" w:rsidRDefault="008C0A79">
      <w:pPr>
        <w:spacing w:before="14" w:line="195" w:lineRule="auto"/>
        <w:ind w:left="1440"/>
        <w:rPr>
          <w:rFonts w:ascii="Times New Roman" w:eastAsia="Times New Roman" w:hAnsi="Times New Roman" w:cs="Times New Roman"/>
          <w:b/>
          <w:bCs/>
        </w:rPr>
      </w:pPr>
    </w:p>
    <w:p w14:paraId="38D01820" w14:textId="77777777" w:rsidR="008C0A79" w:rsidRDefault="00000000">
      <w:pPr>
        <w:spacing w:before="14" w:line="195" w:lineRule="auto"/>
        <w:ind w:left="1440"/>
        <w:rPr>
          <w:rFonts w:ascii="Times New Roman" w:eastAsia="Times New Roman" w:hAnsi="Times New Roman" w:cs="Times New Roman"/>
        </w:rPr>
      </w:pPr>
      <w:r>
        <w:rPr>
          <w:rFonts w:ascii="Times New Roman" w:eastAsia="Times New Roman" w:hAnsi="Times New Roman" w:cs="Times New Roman"/>
        </w:rPr>
        <w:t>The accurate prediction of gold price movements is of utmost importance in order to direct informed investment strategies. This has a substantial and direct impact on a wide array of stakeholders, which includes individuals, organizations, governments, and even nations that have economies that are largely dependent on mineral resources.</w:t>
      </w:r>
    </w:p>
    <w:p w14:paraId="223A47D0" w14:textId="77777777" w:rsidR="008C0A79" w:rsidRDefault="008C0A79">
      <w:pPr>
        <w:spacing w:before="14" w:line="195" w:lineRule="auto"/>
        <w:ind w:left="1440"/>
        <w:rPr>
          <w:rFonts w:ascii="Times New Roman" w:eastAsia="Times New Roman" w:hAnsi="Times New Roman" w:cs="Times New Roman"/>
        </w:rPr>
      </w:pPr>
    </w:p>
    <w:p w14:paraId="30E1B547" w14:textId="77777777" w:rsidR="008C0A79" w:rsidRDefault="00000000">
      <w:pPr>
        <w:spacing w:before="14" w:line="195" w:lineRule="auto"/>
        <w:ind w:left="1440"/>
        <w:rPr>
          <w:rFonts w:ascii="Times New Roman" w:eastAsia="Times New Roman" w:hAnsi="Times New Roman" w:cs="Times New Roman"/>
        </w:rPr>
      </w:pPr>
      <w:r>
        <w:rPr>
          <w:rFonts w:ascii="Times New Roman" w:eastAsia="Times New Roman" w:hAnsi="Times New Roman" w:cs="Times New Roman"/>
        </w:rPr>
        <w:t>However, the accurate prediction of gold price movements over long periods of time is a major challenge that arises due to the volatile nature of gold in the market, which has complex and non-linear characteristics. Therefore, it is of utmost importance to have an accurate understanding of the future price movements of gold in order to have effective revenue planning and strategic economic forecasting. There is an urgent need to evaluate the implementation of advanced machine learning strategies to meet the challenges.</w:t>
      </w:r>
    </w:p>
    <w:p w14:paraId="5DF43FE7" w14:textId="77777777" w:rsidR="008C0A79" w:rsidRDefault="008C0A79">
      <w:pPr>
        <w:spacing w:before="14" w:line="195" w:lineRule="auto"/>
        <w:ind w:left="1440"/>
        <w:rPr>
          <w:rFonts w:ascii="Times New Roman" w:eastAsia="Times New Roman" w:hAnsi="Times New Roman" w:cs="Times New Roman"/>
        </w:rPr>
      </w:pPr>
    </w:p>
    <w:p w14:paraId="7E447C52" w14:textId="77777777" w:rsidR="008C0A79" w:rsidRDefault="008C0A79">
      <w:pPr>
        <w:spacing w:before="14" w:line="195" w:lineRule="auto"/>
        <w:ind w:left="1440"/>
        <w:rPr>
          <w:rFonts w:ascii="Times New Roman" w:eastAsia="Times New Roman" w:hAnsi="Times New Roman" w:cs="Times New Roman"/>
          <w:b/>
          <w:bCs/>
        </w:rPr>
      </w:pPr>
    </w:p>
    <w:p w14:paraId="24625C36" w14:textId="77777777" w:rsidR="008C0A79" w:rsidRDefault="00000000">
      <w:pPr>
        <w:numPr>
          <w:ilvl w:val="1"/>
          <w:numId w:val="1"/>
        </w:numPr>
        <w:spacing w:before="14" w:line="195" w:lineRule="auto"/>
        <w:rPr>
          <w:rFonts w:ascii="Times New Roman" w:eastAsia="Times New Roman" w:hAnsi="Times New Roman" w:cs="Times New Roman"/>
          <w:b/>
          <w:bCs/>
        </w:rPr>
      </w:pPr>
      <w:r>
        <w:rPr>
          <w:rFonts w:ascii="Times New Roman" w:eastAsia="Times New Roman" w:hAnsi="Times New Roman" w:cs="Times New Roman"/>
          <w:b/>
          <w:bCs/>
        </w:rPr>
        <w:t>PROJECT OBJECTIVES</w:t>
      </w:r>
    </w:p>
    <w:p w14:paraId="6C78585C" w14:textId="77777777" w:rsidR="008C0A79" w:rsidRDefault="008C0A79">
      <w:pPr>
        <w:spacing w:before="14" w:line="195" w:lineRule="auto"/>
        <w:ind w:left="1440"/>
        <w:rPr>
          <w:rFonts w:ascii="Times New Roman" w:eastAsia="Times New Roman" w:hAnsi="Times New Roman" w:cs="Times New Roman"/>
          <w:b/>
          <w:bCs/>
        </w:rPr>
      </w:pPr>
    </w:p>
    <w:p w14:paraId="5FE2ABF8" w14:textId="77777777" w:rsidR="008C0A79" w:rsidRDefault="00000000">
      <w:pPr>
        <w:numPr>
          <w:ilvl w:val="0"/>
          <w:numId w:val="3"/>
        </w:numPr>
        <w:spacing w:before="14" w:line="195" w:lineRule="auto"/>
        <w:rPr>
          <w:rFonts w:ascii="Times New Roman" w:eastAsia="Times New Roman" w:hAnsi="Times New Roman" w:cs="Times New Roman"/>
        </w:rPr>
      </w:pPr>
      <w:r>
        <w:rPr>
          <w:rFonts w:ascii="Times New Roman" w:eastAsia="Times New Roman" w:hAnsi="Times New Roman" w:cs="Times New Roman"/>
        </w:rPr>
        <w:t>The objective is to utilize machine learning algorithms for long-term forecasting of gold price movements.</w:t>
      </w:r>
    </w:p>
    <w:p w14:paraId="15EC2E53" w14:textId="77777777" w:rsidR="008C0A79" w:rsidRDefault="008C0A79">
      <w:pPr>
        <w:spacing w:before="14" w:line="195" w:lineRule="auto"/>
        <w:ind w:left="3600"/>
        <w:rPr>
          <w:rFonts w:ascii="Times New Roman" w:eastAsia="Times New Roman" w:hAnsi="Times New Roman" w:cs="Times New Roman"/>
        </w:rPr>
      </w:pPr>
    </w:p>
    <w:p w14:paraId="20B9E8D7" w14:textId="77777777" w:rsidR="008C0A79" w:rsidRDefault="00000000">
      <w:pPr>
        <w:numPr>
          <w:ilvl w:val="0"/>
          <w:numId w:val="3"/>
        </w:numPr>
        <w:spacing w:before="14" w:line="195" w:lineRule="auto"/>
        <w:rPr>
          <w:rFonts w:ascii="Times New Roman" w:eastAsia="Times New Roman" w:hAnsi="Times New Roman" w:cs="Times New Roman"/>
        </w:rPr>
      </w:pPr>
      <w:r>
        <w:rPr>
          <w:rFonts w:ascii="Times New Roman" w:eastAsia="Times New Roman" w:hAnsi="Times New Roman" w:cs="Times New Roman"/>
        </w:rPr>
        <w:t>To conduct a comparative study of four machine learning algorithms for long-term forecasting, namely, SARIMA, ARIMA, Linear Regression, and Support Vector Machine using RBF, Linear, and Polynomial kernels.</w:t>
      </w:r>
    </w:p>
    <w:p w14:paraId="17264CE9" w14:textId="77777777" w:rsidR="008C0A79" w:rsidRDefault="008C0A79">
      <w:pPr>
        <w:spacing w:before="14" w:line="195" w:lineRule="auto"/>
        <w:ind w:left="3600"/>
        <w:rPr>
          <w:rFonts w:ascii="Times New Roman" w:eastAsia="Times New Roman" w:hAnsi="Times New Roman" w:cs="Times New Roman"/>
        </w:rPr>
      </w:pPr>
    </w:p>
    <w:p w14:paraId="33614117" w14:textId="77777777" w:rsidR="008C0A79" w:rsidRDefault="00000000">
      <w:pPr>
        <w:numPr>
          <w:ilvl w:val="0"/>
          <w:numId w:val="3"/>
        </w:numPr>
        <w:spacing w:before="14" w:line="195" w:lineRule="auto"/>
        <w:rPr>
          <w:rFonts w:ascii="Times New Roman" w:eastAsia="Times New Roman" w:hAnsi="Times New Roman" w:cs="Times New Roman"/>
        </w:rPr>
      </w:pPr>
      <w:r>
        <w:rPr>
          <w:rFonts w:ascii="Times New Roman" w:eastAsia="Times New Roman" w:hAnsi="Times New Roman" w:cs="Times New Roman"/>
        </w:rPr>
        <w:t>To train the machine learning algorithms using a comprehensive dataset for long-term forecasting, comprising historical gold price movements aggregated at the monthly average level.</w:t>
      </w:r>
    </w:p>
    <w:p w14:paraId="350ADCE8" w14:textId="77777777" w:rsidR="008C0A79" w:rsidRDefault="008C0A79">
      <w:pPr>
        <w:spacing w:before="14" w:line="195" w:lineRule="auto"/>
        <w:ind w:left="3600"/>
        <w:rPr>
          <w:rFonts w:ascii="Times New Roman" w:eastAsia="Times New Roman" w:hAnsi="Times New Roman" w:cs="Times New Roman"/>
        </w:rPr>
      </w:pPr>
    </w:p>
    <w:p w14:paraId="7CC98A0B" w14:textId="77777777" w:rsidR="008C0A79" w:rsidRDefault="00000000">
      <w:pPr>
        <w:numPr>
          <w:ilvl w:val="0"/>
          <w:numId w:val="3"/>
        </w:numPr>
        <w:spacing w:before="14" w:line="195" w:lineRule="auto"/>
        <w:rPr>
          <w:rFonts w:ascii="Times New Roman" w:eastAsia="Times New Roman" w:hAnsi="Times New Roman" w:cs="Times New Roman"/>
        </w:rPr>
      </w:pPr>
      <w:r>
        <w:rPr>
          <w:rFonts w:ascii="Times New Roman" w:eastAsia="Times New Roman" w:hAnsi="Times New Roman" w:cs="Times New Roman"/>
        </w:rPr>
        <w:t>To generate a 60-month forecast horizon, ranging from September 2025 to August 2030.</w:t>
      </w:r>
    </w:p>
    <w:p w14:paraId="5AC1B910" w14:textId="77777777" w:rsidR="008C0A79" w:rsidRDefault="00000000">
      <w:pPr>
        <w:numPr>
          <w:ilvl w:val="0"/>
          <w:numId w:val="3"/>
        </w:numPr>
        <w:spacing w:line="195" w:lineRule="auto"/>
        <w:rPr>
          <w:rFonts w:ascii="Times New Roman" w:eastAsia="Times New Roman" w:hAnsi="Times New Roman" w:cs="Times New Roman"/>
        </w:rPr>
      </w:pPr>
      <w:r>
        <w:rPr>
          <w:rFonts w:ascii="Times New Roman" w:eastAsia="Times New Roman" w:hAnsi="Times New Roman" w:cs="Times New Roman"/>
        </w:rPr>
        <w:lastRenderedPageBreak/>
        <w:t>To evaluate the performance of the predictive models using statistical performance metrics such as RMSE, MAE, and MAPE.</w:t>
      </w:r>
    </w:p>
    <w:p w14:paraId="54E57866" w14:textId="77777777" w:rsidR="008C0A79" w:rsidRDefault="008C0A79">
      <w:pPr>
        <w:spacing w:before="14" w:line="195" w:lineRule="auto"/>
        <w:ind w:left="3600"/>
        <w:rPr>
          <w:rFonts w:ascii="Times New Roman" w:eastAsia="Times New Roman" w:hAnsi="Times New Roman" w:cs="Times New Roman"/>
        </w:rPr>
      </w:pPr>
    </w:p>
    <w:p w14:paraId="0248B5E1" w14:textId="77777777" w:rsidR="008C0A79" w:rsidRDefault="00000000">
      <w:pPr>
        <w:numPr>
          <w:ilvl w:val="0"/>
          <w:numId w:val="3"/>
        </w:numPr>
        <w:spacing w:before="14" w:line="195" w:lineRule="auto"/>
        <w:rPr>
          <w:rFonts w:ascii="Times New Roman" w:eastAsia="Times New Roman" w:hAnsi="Times New Roman" w:cs="Times New Roman"/>
        </w:rPr>
      </w:pPr>
      <w:r>
        <w:rPr>
          <w:rFonts w:ascii="Times New Roman" w:eastAsia="Times New Roman" w:hAnsi="Times New Roman" w:cs="Times New Roman"/>
        </w:rPr>
        <w:t xml:space="preserve">To utilize the trained predictive models using a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backend for serving purposes, enabling integration with front-end dashboards using </w:t>
      </w:r>
      <w:proofErr w:type="spellStart"/>
      <w:r>
        <w:rPr>
          <w:rFonts w:ascii="Times New Roman" w:eastAsia="Times New Roman" w:hAnsi="Times New Roman" w:cs="Times New Roman"/>
        </w:rPr>
        <w:t>Streamlit</w:t>
      </w:r>
      <w:proofErr w:type="spellEnd"/>
      <w:r>
        <w:rPr>
          <w:rFonts w:ascii="Times New Roman" w:eastAsia="Times New Roman" w:hAnsi="Times New Roman" w:cs="Times New Roman"/>
        </w:rPr>
        <w:t>.</w:t>
      </w:r>
    </w:p>
    <w:p w14:paraId="3A761D87" w14:textId="77777777" w:rsidR="008C0A79" w:rsidRDefault="008C0A79">
      <w:pPr>
        <w:spacing w:before="14" w:line="195" w:lineRule="auto"/>
        <w:ind w:left="2880"/>
        <w:rPr>
          <w:rFonts w:ascii="Times New Roman" w:eastAsia="Times New Roman" w:hAnsi="Times New Roman" w:cs="Times New Roman"/>
          <w:b/>
          <w:bCs/>
        </w:rPr>
      </w:pPr>
    </w:p>
    <w:p w14:paraId="6057A500" w14:textId="77777777" w:rsidR="008C0A79" w:rsidRDefault="00000000">
      <w:pPr>
        <w:spacing w:before="14" w:line="195" w:lineRule="auto"/>
        <w:ind w:left="2880"/>
        <w:rPr>
          <w:rFonts w:ascii="Times New Roman" w:eastAsia="Times New Roman" w:hAnsi="Times New Roman" w:cs="Times New Roman"/>
          <w:b/>
          <w:bCs/>
        </w:rPr>
      </w:pPr>
      <w:r>
        <w:br w:type="page"/>
      </w:r>
    </w:p>
    <w:p w14:paraId="1D61E37E" w14:textId="77777777" w:rsidR="008C0A79" w:rsidRDefault="00000000">
      <w:pPr>
        <w:spacing w:before="14" w:line="195"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CHAPTER 2</w:t>
      </w:r>
    </w:p>
    <w:p w14:paraId="4F61213A" w14:textId="77777777" w:rsidR="008C0A79" w:rsidRDefault="008C0A79">
      <w:pPr>
        <w:spacing w:before="14" w:line="195" w:lineRule="auto"/>
        <w:jc w:val="center"/>
        <w:rPr>
          <w:rFonts w:ascii="Times New Roman" w:eastAsia="Times New Roman" w:hAnsi="Times New Roman" w:cs="Times New Roman"/>
          <w:b/>
          <w:bCs/>
        </w:rPr>
      </w:pPr>
    </w:p>
    <w:p w14:paraId="5C44A0B6" w14:textId="77777777" w:rsidR="008C0A79" w:rsidRDefault="008C0A79">
      <w:pPr>
        <w:spacing w:before="14" w:line="195" w:lineRule="auto"/>
        <w:rPr>
          <w:rFonts w:ascii="Times New Roman" w:eastAsia="Times New Roman" w:hAnsi="Times New Roman" w:cs="Times New Roman"/>
          <w:b/>
          <w:bCs/>
        </w:rPr>
      </w:pPr>
    </w:p>
    <w:p w14:paraId="4FD63C82" w14:textId="77777777" w:rsidR="008C0A79" w:rsidRDefault="00000000">
      <w:pPr>
        <w:numPr>
          <w:ilvl w:val="0"/>
          <w:numId w:val="1"/>
        </w:numPr>
        <w:tabs>
          <w:tab w:val="center" w:pos="4513"/>
          <w:tab w:val="left" w:pos="6984"/>
        </w:tabs>
        <w:spacing w:after="200" w:line="259" w:lineRule="auto"/>
        <w:jc w:val="both"/>
        <w:rPr>
          <w:rFonts w:ascii="Times New Roman" w:eastAsia="Times New Roman" w:hAnsi="Times New Roman" w:cs="Times New Roman"/>
          <w:b/>
          <w:bCs/>
        </w:rPr>
      </w:pPr>
      <w:r>
        <w:rPr>
          <w:rFonts w:ascii="Times New Roman" w:eastAsia="Times New Roman" w:hAnsi="Times New Roman" w:cs="Times New Roman"/>
        </w:rPr>
        <w:t>LITERATURE REVIEW</w:t>
      </w:r>
    </w:p>
    <w:p w14:paraId="68DC319F" w14:textId="77777777" w:rsidR="008C0A79" w:rsidRDefault="00000000">
      <w:pPr>
        <w:numPr>
          <w:ilvl w:val="1"/>
          <w:numId w:val="1"/>
        </w:numPr>
        <w:tabs>
          <w:tab w:val="center" w:pos="4513"/>
          <w:tab w:val="left" w:pos="6984"/>
        </w:tabs>
        <w:spacing w:after="200" w:line="259" w:lineRule="auto"/>
        <w:jc w:val="both"/>
        <w:rPr>
          <w:rFonts w:ascii="Times New Roman" w:eastAsia="Times New Roman" w:hAnsi="Times New Roman" w:cs="Times New Roman"/>
        </w:rPr>
      </w:pPr>
      <w:r>
        <w:rPr>
          <w:rFonts w:ascii="Times New Roman" w:eastAsia="Times New Roman" w:hAnsi="Times New Roman" w:cs="Times New Roman"/>
        </w:rPr>
        <w:t>Introduction</w:t>
      </w:r>
    </w:p>
    <w:p w14:paraId="62689E44"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Gold price predictions present significant challenges due to their volatility and inability to be predicted in a linear manner over long periods of time. In the past, most forecasting of gold prices used similar methods to predict other commodities, using historical price data as the basis for making an economic or investing decision. These types of models generally worked well in predicting short-term trends; however, due to the complex, non-linear disruptions caused by macroeconomic shifts and worldwide calamities, they were generally less accurate at predicting longer-term results than some competing methods.</w:t>
      </w:r>
    </w:p>
    <w:p w14:paraId="628C7A0E"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As a result of this paradigm shift, there has been substantial research indicating how the use of advanced machine learning and deep learning architectures helps to mitigate these non-linearities. An example of this is how modern DL models are able to improve their ability to predict very volatile periods by accounting for external shocks, such as global pandemics [1] and how integrating macroeconomic indicators into ML workflows has been shown repeatedly to improve forecasting performance [2]. Additionally, there are new frameworks such as the Gold Nexus Predictor (GNP), which explicitly augment economic indicators and advanced algorithmic learning to fully understand market dynamics through the use of a single model [3].</w:t>
      </w:r>
    </w:p>
    <w:p w14:paraId="423365BE"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A series of holistic investigations into the development of computational finance that occurred during the last 10 years provide evidence for the evolution from simple statistical techniques to complex ML methods, and they have stressed the importance of carefully selecting models based on the attributes of the data being </w:t>
      </w:r>
      <w:proofErr w:type="spellStart"/>
      <w:r>
        <w:rPr>
          <w:rFonts w:ascii="Times New Roman" w:eastAsia="Times New Roman" w:hAnsi="Times New Roman" w:cs="Times New Roman"/>
        </w:rPr>
        <w:t>analyzed</w:t>
      </w:r>
      <w:proofErr w:type="spellEnd"/>
      <w:r>
        <w:rPr>
          <w:rFonts w:ascii="Times New Roman" w:eastAsia="Times New Roman" w:hAnsi="Times New Roman" w:cs="Times New Roman"/>
        </w:rPr>
        <w:t>, as well as the environment in which it is used [4]. The findings of a comparative analysis using rigorous benchmarks to evaluate traditional econometric models and contemporary machine learning models strongly support hybrid methods [6]. For instance, when used together, statistical baseline models and machine learning models produce predictions that are significantly better than either model does when used independently [7].</w:t>
      </w:r>
    </w:p>
    <w:p w14:paraId="48D31120"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The body of research has also built upon the relationship that exists between the use of algorithms to learn from data and the costs which have been represented in traditional models of economics [8] through the utilization of a more advanced type of multivariate-stochastic model that is meant to represent latent ($ latent $) volatility in markets [9]. In practice, many of the techniques that are commonly used for forecasting utilise both a linear model such as ARIMA and a nonlinear mapping technique such as Support Vector Machines (SVM) to find and map the way in which residuals behave within models [10]. In addition, the standard machine learning pipeline methods have consistently demonstrated their effectiveness at revealing latent and less obvious price histories from the past [11] and that these two components (the way the algorithm is designed, and the hyperparameters of the algorithm) are equally important as the dataset used to train an algorithm [12].</w:t>
      </w:r>
    </w:p>
    <w:p w14:paraId="6444D010"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CNN-LSTM Models have done well in capturing temporal patterns from multiple dimensions when processing Deep Temporal Sequences [13]. In the post-2024 literature, researchers have continued to expand on this, writing algorithmic reviews that provide the best outcomes for implementing their models [14]. Many new ways of processing data (including using rolling average representations) have also been documented as having promising outcomes for decreasing extreme daily price volatility before training a model [15].</w:t>
      </w:r>
    </w:p>
    <w:p w14:paraId="3EEEF50B" w14:textId="77777777" w:rsidR="008C0A79" w:rsidRDefault="008C0A79">
      <w:pPr>
        <w:tabs>
          <w:tab w:val="center" w:pos="4513"/>
          <w:tab w:val="left" w:pos="6984"/>
        </w:tabs>
        <w:spacing w:after="200" w:line="259" w:lineRule="auto"/>
        <w:ind w:left="1440"/>
        <w:jc w:val="both"/>
        <w:rPr>
          <w:rFonts w:ascii="Times New Roman" w:eastAsia="Times New Roman" w:hAnsi="Times New Roman" w:cs="Times New Roman"/>
        </w:rPr>
      </w:pPr>
    </w:p>
    <w:p w14:paraId="703B6ACE" w14:textId="77777777" w:rsidR="008C0A79" w:rsidRDefault="008C0A79">
      <w:pPr>
        <w:tabs>
          <w:tab w:val="center" w:pos="4513"/>
          <w:tab w:val="left" w:pos="6984"/>
        </w:tabs>
        <w:spacing w:after="200" w:line="259" w:lineRule="auto"/>
        <w:ind w:left="1440"/>
        <w:jc w:val="both"/>
        <w:rPr>
          <w:rFonts w:ascii="Times New Roman" w:eastAsia="Times New Roman" w:hAnsi="Times New Roman" w:cs="Times New Roman"/>
        </w:rPr>
      </w:pPr>
    </w:p>
    <w:p w14:paraId="327D4970" w14:textId="77777777" w:rsidR="008C0A79" w:rsidRDefault="00000000">
      <w:pPr>
        <w:numPr>
          <w:ilvl w:val="1"/>
          <w:numId w:val="1"/>
        </w:numPr>
        <w:tabs>
          <w:tab w:val="center" w:pos="4513"/>
          <w:tab w:val="left" w:pos="6984"/>
        </w:tabs>
        <w:spacing w:after="160"/>
        <w:jc w:val="both"/>
        <w:rPr>
          <w:rFonts w:ascii="Times New Roman" w:eastAsia="Times New Roman" w:hAnsi="Times New Roman" w:cs="Times New Roman"/>
        </w:rPr>
      </w:pPr>
      <w:r>
        <w:rPr>
          <w:rFonts w:ascii="Times New Roman" w:eastAsia="Times New Roman" w:hAnsi="Times New Roman" w:cs="Times New Roman"/>
        </w:rPr>
        <w:t>Details of literature review</w:t>
      </w:r>
    </w:p>
    <w:p w14:paraId="0B77170C" w14:textId="77777777" w:rsidR="008C0A79" w:rsidRDefault="00000000">
      <w:pPr>
        <w:tabs>
          <w:tab w:val="center" w:pos="4513"/>
          <w:tab w:val="left" w:pos="6984"/>
        </w:tabs>
        <w:spacing w:before="240" w:after="240" w:line="259" w:lineRule="auto"/>
        <w:ind w:left="1440"/>
        <w:jc w:val="both"/>
        <w:rPr>
          <w:rFonts w:ascii="Times New Roman" w:eastAsia="Times New Roman" w:hAnsi="Times New Roman" w:cs="Times New Roman"/>
        </w:rPr>
      </w:pPr>
      <w:r>
        <w:rPr>
          <w:rFonts w:ascii="Times New Roman" w:eastAsia="Times New Roman" w:hAnsi="Times New Roman" w:cs="Times New Roman"/>
        </w:rPr>
        <w:lastRenderedPageBreak/>
        <w:t xml:space="preserve">Gold price forecasting has attracted considerable attention due to its vital role in investment decisions and economic planning. </w:t>
      </w:r>
      <w:proofErr w:type="spellStart"/>
      <w:r>
        <w:rPr>
          <w:rFonts w:ascii="Times New Roman" w:eastAsia="Times New Roman" w:hAnsi="Times New Roman" w:cs="Times New Roman"/>
        </w:rPr>
        <w:t>Mohtasham</w:t>
      </w:r>
      <w:proofErr w:type="spellEnd"/>
      <w:r>
        <w:rPr>
          <w:rFonts w:ascii="Times New Roman" w:eastAsia="Times New Roman" w:hAnsi="Times New Roman" w:cs="Times New Roman"/>
        </w:rPr>
        <w:t xml:space="preserve"> Khani et al. introduced a deep learning-based method to forecast gold prices, emphasizing the impacts of pandemics on price movements. This study highlighted the need to incorporate external shocks like pandemics into price prediction models for better accuracy [1].</w:t>
      </w:r>
    </w:p>
    <w:p w14:paraId="72BBD42A" w14:textId="77777777" w:rsidR="008C0A79" w:rsidRDefault="00000000">
      <w:pPr>
        <w:tabs>
          <w:tab w:val="center" w:pos="4513"/>
          <w:tab w:val="left" w:pos="6984"/>
        </w:tabs>
        <w:spacing w:before="240" w:after="240" w:line="259" w:lineRule="auto"/>
        <w:ind w:left="1440"/>
        <w:jc w:val="both"/>
        <w:rPr>
          <w:rFonts w:ascii="Times New Roman" w:eastAsia="Times New Roman" w:hAnsi="Times New Roman" w:cs="Times New Roman"/>
        </w:rPr>
      </w:pPr>
      <w:r>
        <w:rPr>
          <w:rFonts w:ascii="Times New Roman" w:eastAsia="Times New Roman" w:hAnsi="Times New Roman" w:cs="Times New Roman"/>
        </w:rPr>
        <w:t>Kumar et al. utilized machine learning techniques leveraging economic indicators to predict gold prices, demonstrating improved forecasting performance by integrating those indicators into the models [2]. Similarly, Tejasvi et al. proposed the Gold Nexus Predictor (GNP), which integrates machine learning with economic indicators to enhance gold market predictions [3].</w:t>
      </w:r>
    </w:p>
    <w:p w14:paraId="2AC740ED" w14:textId="77777777" w:rsidR="008C0A79" w:rsidRDefault="00000000">
      <w:pPr>
        <w:tabs>
          <w:tab w:val="center" w:pos="4513"/>
          <w:tab w:val="left" w:pos="6984"/>
        </w:tabs>
        <w:spacing w:before="240" w:after="240" w:line="259" w:lineRule="auto"/>
        <w:ind w:left="1440"/>
        <w:jc w:val="both"/>
        <w:rPr>
          <w:rFonts w:ascii="Times New Roman" w:eastAsia="Times New Roman" w:hAnsi="Times New Roman" w:cs="Times New Roman"/>
        </w:rPr>
      </w:pPr>
      <w:r>
        <w:rPr>
          <w:rFonts w:ascii="Times New Roman" w:eastAsia="Times New Roman" w:hAnsi="Times New Roman" w:cs="Times New Roman"/>
        </w:rPr>
        <w:t>A comprehensive review by Das et al. examined a decade's worth of machine learning approaches for gold price forecasting, outlining the evolution and comparative performance of diverse techniques [4]. Their findings reinforced the comparative strengths of different machine learning methods in addressing the non-linear and volatile characteristics of gold prices.</w:t>
      </w:r>
    </w:p>
    <w:p w14:paraId="39128CB4" w14:textId="77777777" w:rsidR="008C0A79" w:rsidRDefault="00000000">
      <w:pPr>
        <w:tabs>
          <w:tab w:val="center" w:pos="4513"/>
          <w:tab w:val="left" w:pos="6984"/>
        </w:tabs>
        <w:spacing w:before="240" w:after="240" w:line="259" w:lineRule="auto"/>
        <w:ind w:left="1440"/>
        <w:jc w:val="both"/>
        <w:rPr>
          <w:rFonts w:ascii="Times New Roman" w:eastAsia="Times New Roman" w:hAnsi="Times New Roman" w:cs="Times New Roman"/>
        </w:rPr>
      </w:pPr>
      <w:proofErr w:type="spellStart"/>
      <w:r>
        <w:rPr>
          <w:rFonts w:ascii="Times New Roman" w:eastAsia="Times New Roman" w:hAnsi="Times New Roman" w:cs="Times New Roman"/>
        </w:rPr>
        <w:t>Gadage</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Baporikar</w:t>
      </w:r>
      <w:proofErr w:type="spellEnd"/>
      <w:r>
        <w:rPr>
          <w:rFonts w:ascii="Times New Roman" w:eastAsia="Times New Roman" w:hAnsi="Times New Roman" w:cs="Times New Roman"/>
        </w:rPr>
        <w:t xml:space="preserve"> provided a survey on various machine learning methods applied to gold price prediction, emphasizing model selection based on data characteristics and problem context [5]. Their work contributed to understanding the suitability of specific models for this domain.</w:t>
      </w:r>
    </w:p>
    <w:p w14:paraId="17ACAF9B" w14:textId="77777777" w:rsidR="008C0A79" w:rsidRDefault="00000000">
      <w:pPr>
        <w:tabs>
          <w:tab w:val="center" w:pos="4513"/>
          <w:tab w:val="left" w:pos="6984"/>
        </w:tabs>
        <w:spacing w:before="240" w:after="240" w:line="259" w:lineRule="auto"/>
        <w:ind w:left="1440"/>
        <w:jc w:val="both"/>
        <w:rPr>
          <w:rFonts w:ascii="Times New Roman" w:eastAsia="Times New Roman" w:hAnsi="Times New Roman" w:cs="Times New Roman"/>
        </w:rPr>
      </w:pPr>
      <w:r>
        <w:rPr>
          <w:rFonts w:ascii="Times New Roman" w:eastAsia="Times New Roman" w:hAnsi="Times New Roman" w:cs="Times New Roman"/>
        </w:rPr>
        <w:t>Jahnavi et al. conducted a comparative analysis between econometric and machine learning models, advocating a comprehensive approach that harnesses the advantages of both methodologies for enhanced forecasting accuracy [6]. Ahmad et al. further explored this comparison by examining statistical and machine learning models, concluding that hybrid approaches might outperform traditional models in gold price prediction [7].</w:t>
      </w:r>
    </w:p>
    <w:p w14:paraId="56D99B75" w14:textId="77777777" w:rsidR="008C0A79" w:rsidRDefault="00000000">
      <w:pPr>
        <w:tabs>
          <w:tab w:val="center" w:pos="4513"/>
          <w:tab w:val="left" w:pos="6984"/>
        </w:tabs>
        <w:spacing w:before="240" w:after="240" w:line="259" w:lineRule="auto"/>
        <w:ind w:left="1440"/>
        <w:jc w:val="both"/>
        <w:rPr>
          <w:rFonts w:ascii="Times New Roman" w:eastAsia="Times New Roman" w:hAnsi="Times New Roman" w:cs="Times New Roman"/>
        </w:rPr>
      </w:pPr>
      <w:proofErr w:type="spellStart"/>
      <w:r>
        <w:rPr>
          <w:rFonts w:ascii="Times New Roman" w:eastAsia="Times New Roman" w:hAnsi="Times New Roman" w:cs="Times New Roman"/>
        </w:rPr>
        <w:t>Plakandaras</w:t>
      </w:r>
      <w:proofErr w:type="spellEnd"/>
      <w:r>
        <w:rPr>
          <w:rFonts w:ascii="Times New Roman" w:eastAsia="Times New Roman" w:hAnsi="Times New Roman" w:cs="Times New Roman"/>
        </w:rPr>
        <w:t xml:space="preserve"> et al. addressed the interplay between gold prices and machine learning, </w:t>
      </w:r>
      <w:proofErr w:type="spellStart"/>
      <w:r>
        <w:rPr>
          <w:rFonts w:ascii="Times New Roman" w:eastAsia="Times New Roman" w:hAnsi="Times New Roman" w:cs="Times New Roman"/>
        </w:rPr>
        <w:t>analyzing</w:t>
      </w:r>
      <w:proofErr w:type="spellEnd"/>
      <w:r>
        <w:rPr>
          <w:rFonts w:ascii="Times New Roman" w:eastAsia="Times New Roman" w:hAnsi="Times New Roman" w:cs="Times New Roman"/>
        </w:rPr>
        <w:t xml:space="preserve"> how machine learning algorithms can be used effectively in economic </w:t>
      </w:r>
      <w:proofErr w:type="spellStart"/>
      <w:r>
        <w:rPr>
          <w:rFonts w:ascii="Times New Roman" w:eastAsia="Times New Roman" w:hAnsi="Times New Roman" w:cs="Times New Roman"/>
        </w:rPr>
        <w:t>modeling</w:t>
      </w:r>
      <w:proofErr w:type="spellEnd"/>
      <w:r>
        <w:rPr>
          <w:rFonts w:ascii="Times New Roman" w:eastAsia="Times New Roman" w:hAnsi="Times New Roman" w:cs="Times New Roman"/>
        </w:rPr>
        <w:t xml:space="preserve"> relative to gold price movement [8]. Madziwa et al. introduced a multivariate stochastic model for gold price forecasting, incorporating multiple influencing factors to capture underlying market dynamics [9].</w:t>
      </w:r>
    </w:p>
    <w:p w14:paraId="752DC2A6" w14:textId="77777777" w:rsidR="008C0A79" w:rsidRDefault="00000000">
      <w:pPr>
        <w:tabs>
          <w:tab w:val="center" w:pos="4513"/>
          <w:tab w:val="left" w:pos="6984"/>
        </w:tabs>
        <w:spacing w:before="240" w:after="240" w:line="259" w:lineRule="auto"/>
        <w:ind w:left="1440"/>
        <w:jc w:val="both"/>
        <w:rPr>
          <w:rFonts w:ascii="Times New Roman" w:eastAsia="Times New Roman" w:hAnsi="Times New Roman" w:cs="Times New Roman"/>
        </w:rPr>
      </w:pPr>
      <w:r>
        <w:rPr>
          <w:rFonts w:ascii="Times New Roman" w:eastAsia="Times New Roman" w:hAnsi="Times New Roman" w:cs="Times New Roman"/>
        </w:rPr>
        <w:t>Makala and Li applied ARIMA and SVM models to predict gold prices, asserting the effectiveness of combining traditional time series methods with machine learning techniques [10]. Aruna et al.  expanded on machine learning applications, demonstrating their utility in uncovering potential price trends in gold markets [11].</w:t>
      </w:r>
    </w:p>
    <w:p w14:paraId="779150C3" w14:textId="77777777" w:rsidR="008C0A79" w:rsidRDefault="00000000">
      <w:pPr>
        <w:tabs>
          <w:tab w:val="center" w:pos="4513"/>
          <w:tab w:val="left" w:pos="6984"/>
        </w:tabs>
        <w:spacing w:before="240" w:after="240" w:line="259"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Cohen and </w:t>
      </w:r>
      <w:proofErr w:type="spellStart"/>
      <w:r>
        <w:rPr>
          <w:rFonts w:ascii="Times New Roman" w:eastAsia="Times New Roman" w:hAnsi="Times New Roman" w:cs="Times New Roman"/>
        </w:rPr>
        <w:t>Aiche</w:t>
      </w:r>
      <w:proofErr w:type="spellEnd"/>
      <w:r>
        <w:rPr>
          <w:rFonts w:ascii="Times New Roman" w:eastAsia="Times New Roman" w:hAnsi="Times New Roman" w:cs="Times New Roman"/>
        </w:rPr>
        <w:t xml:space="preserve"> employed machine learning methodologies for gold price forecasting, highlighting the significance of sophisticated algorithm designs in improving prediction accuracy [12]. Earlier, </w:t>
      </w:r>
      <w:proofErr w:type="spellStart"/>
      <w:r>
        <w:rPr>
          <w:rFonts w:ascii="Times New Roman" w:eastAsia="Times New Roman" w:hAnsi="Times New Roman" w:cs="Times New Roman"/>
        </w:rPr>
        <w:t>Livieris</w:t>
      </w:r>
      <w:proofErr w:type="spellEnd"/>
      <w:r>
        <w:rPr>
          <w:rFonts w:ascii="Times New Roman" w:eastAsia="Times New Roman" w:hAnsi="Times New Roman" w:cs="Times New Roman"/>
        </w:rPr>
        <w:t xml:space="preserve"> et al. developed a CNN–LSTM hybrid model to forecast gold prices effectively by capturing temporal patterns in the data [13].</w:t>
      </w:r>
    </w:p>
    <w:p w14:paraId="1CD44FCA" w14:textId="77777777" w:rsidR="008C0A79" w:rsidRDefault="00000000">
      <w:pPr>
        <w:tabs>
          <w:tab w:val="center" w:pos="4513"/>
          <w:tab w:val="left" w:pos="6984"/>
        </w:tabs>
        <w:spacing w:before="240" w:after="240" w:line="259" w:lineRule="auto"/>
        <w:ind w:left="1440"/>
        <w:jc w:val="both"/>
        <w:rPr>
          <w:rFonts w:ascii="Times New Roman" w:eastAsia="Times New Roman" w:hAnsi="Times New Roman" w:cs="Times New Roman"/>
        </w:rPr>
      </w:pPr>
      <w:r>
        <w:rPr>
          <w:rFonts w:ascii="Times New Roman" w:eastAsia="Times New Roman" w:hAnsi="Times New Roman" w:cs="Times New Roman"/>
        </w:rPr>
        <w:t>Jin and Xu focused on machine learning gold price forecasting, reviewing modern algorithms and their implementation outcomes [14]. Recently, Kannan et al. proposed a method using rolling average representation combined with machine learning for gold price prediction, showing promising results in dealing with price volatility [15].</w:t>
      </w:r>
    </w:p>
    <w:p w14:paraId="1805B11B" w14:textId="77777777" w:rsidR="008C0A79" w:rsidRDefault="00000000">
      <w:pPr>
        <w:tabs>
          <w:tab w:val="center" w:pos="4513"/>
          <w:tab w:val="left" w:pos="6984"/>
        </w:tabs>
        <w:spacing w:before="240" w:after="240" w:line="259" w:lineRule="auto"/>
        <w:ind w:left="1440"/>
        <w:jc w:val="both"/>
        <w:rPr>
          <w:rFonts w:ascii="Times New Roman" w:eastAsia="Times New Roman" w:hAnsi="Times New Roman" w:cs="Times New Roman"/>
        </w:rPr>
      </w:pPr>
      <w:r>
        <w:rPr>
          <w:rFonts w:ascii="Times New Roman" w:eastAsia="Times New Roman" w:hAnsi="Times New Roman" w:cs="Times New Roman"/>
        </w:rPr>
        <w:t>Overall, the literature reflects a progression from traditional econometric models to advanced machine learning and deep learning techniques, with increasing attention towards hybrid models that incorporate economic indicators and external factors to enhance forecasting accuracy.</w:t>
      </w:r>
    </w:p>
    <w:p w14:paraId="2D681F8B" w14:textId="77777777" w:rsidR="008C0A79" w:rsidRDefault="008C0A79">
      <w:pPr>
        <w:tabs>
          <w:tab w:val="center" w:pos="4513"/>
          <w:tab w:val="left" w:pos="6984"/>
        </w:tabs>
        <w:spacing w:after="160"/>
        <w:ind w:left="1440"/>
        <w:jc w:val="both"/>
        <w:rPr>
          <w:rFonts w:ascii="Times New Roman" w:eastAsia="Times New Roman" w:hAnsi="Times New Roman" w:cs="Times New Roman"/>
        </w:rPr>
      </w:pPr>
    </w:p>
    <w:p w14:paraId="0E8EDCF5" w14:textId="77777777" w:rsidR="008C0A79" w:rsidRDefault="00000000">
      <w:pPr>
        <w:numPr>
          <w:ilvl w:val="1"/>
          <w:numId w:val="1"/>
        </w:numPr>
        <w:tabs>
          <w:tab w:val="center" w:pos="4513"/>
          <w:tab w:val="left" w:pos="6984"/>
        </w:tabs>
        <w:spacing w:after="160"/>
        <w:jc w:val="both"/>
        <w:rPr>
          <w:rFonts w:ascii="Times New Roman" w:eastAsia="Times New Roman" w:hAnsi="Times New Roman" w:cs="Times New Roman"/>
        </w:rPr>
      </w:pPr>
      <w:r>
        <w:rPr>
          <w:rFonts w:ascii="Times New Roman" w:eastAsia="Times New Roman" w:hAnsi="Times New Roman" w:cs="Times New Roman"/>
        </w:rPr>
        <w:t>Analysis of Related Works</w:t>
      </w:r>
    </w:p>
    <w:p w14:paraId="19BF6518" w14:textId="77777777" w:rsidR="008C0A79" w:rsidRDefault="00000000">
      <w:pPr>
        <w:tabs>
          <w:tab w:val="center" w:pos="4513"/>
          <w:tab w:val="left" w:pos="6984"/>
        </w:tabs>
        <w:spacing w:after="160"/>
        <w:ind w:left="1440"/>
        <w:jc w:val="both"/>
        <w:rPr>
          <w:rFonts w:ascii="Times New Roman" w:eastAsia="Times New Roman" w:hAnsi="Times New Roman" w:cs="Times New Roman"/>
        </w:rPr>
      </w:pPr>
      <w:r>
        <w:rPr>
          <w:rFonts w:ascii="Times New Roman" w:eastAsia="Times New Roman" w:hAnsi="Times New Roman" w:cs="Times New Roman"/>
        </w:rPr>
        <w:lastRenderedPageBreak/>
        <w:t>To help in understanding the proposed use of SARIMA, Linear Regression and SVM techniques to develop a long-term, 5-year forecast; a review of the current literature will be necessary to conduct a critical analysis of the subject. The tables below provide a synthesis of the key advantages and disadvantages, methodological conclusions and results of notable recent research on predicting gold prices.</w:t>
      </w:r>
    </w:p>
    <w:p w14:paraId="5E960523" w14:textId="77777777" w:rsidR="008C0A79" w:rsidRDefault="008C0A79">
      <w:pPr>
        <w:tabs>
          <w:tab w:val="center" w:pos="4513"/>
          <w:tab w:val="left" w:pos="6984"/>
        </w:tabs>
        <w:spacing w:after="160"/>
        <w:ind w:left="1440"/>
        <w:jc w:val="both"/>
        <w:rPr>
          <w:rFonts w:ascii="Times New Roman" w:eastAsia="Times New Roman" w:hAnsi="Times New Roman" w:cs="Times New Roman"/>
        </w:rPr>
      </w:pPr>
    </w:p>
    <w:tbl>
      <w:tblPr>
        <w:tblStyle w:val="a"/>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3510"/>
        <w:gridCol w:w="3300"/>
      </w:tblGrid>
      <w:tr w:rsidR="008C0A79" w14:paraId="5F804FA1" w14:textId="77777777">
        <w:trPr>
          <w:trHeight w:val="1050"/>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C4FEB21"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Paper</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0FC1B8A"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Advantages</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42B97312"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Disadvantages</w:t>
            </w:r>
          </w:p>
        </w:tc>
      </w:tr>
      <w:tr w:rsidR="008C0A79" w14:paraId="22DA5771" w14:textId="77777777">
        <w:trPr>
          <w:trHeight w:val="1605"/>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87BC860"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proofErr w:type="spellStart"/>
            <w:r>
              <w:rPr>
                <w:rFonts w:ascii="Times New Roman" w:eastAsia="Times New Roman" w:hAnsi="Times New Roman" w:cs="Times New Roman"/>
                <w:b/>
                <w:bCs/>
                <w:color w:val="1F1F1F"/>
              </w:rPr>
              <w:t>Mohtasham</w:t>
            </w:r>
            <w:proofErr w:type="spellEnd"/>
            <w:r>
              <w:rPr>
                <w:rFonts w:ascii="Times New Roman" w:eastAsia="Times New Roman" w:hAnsi="Times New Roman" w:cs="Times New Roman"/>
                <w:b/>
                <w:bCs/>
                <w:color w:val="1F1F1F"/>
              </w:rPr>
              <w:t xml:space="preserve"> Khani et al. (2021) [1]</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FC2F281"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Successfully integrated external black-swan events (pandemics) into predictive frameworks.</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14DDFA5C"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High likelihood of overfitting to specific historical anomalies; lacks high interpretability.</w:t>
            </w:r>
          </w:p>
        </w:tc>
      </w:tr>
      <w:tr w:rsidR="008C0A79" w14:paraId="3DAD2A8A" w14:textId="77777777">
        <w:trPr>
          <w:trHeight w:val="1605"/>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D59507C"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Kumar et al. (2024) [2]</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67174FF"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Improved forecasting accuracy by explicitly feeding correlated macroeconomic indicators into the ML pipeline.</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59A22D35"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Increased dimensionality can introduce multicollinearity, requiring aggressive feature reduction.</w:t>
            </w:r>
          </w:p>
        </w:tc>
      </w:tr>
      <w:tr w:rsidR="008C0A79" w14:paraId="2D3CC807" w14:textId="77777777">
        <w:trPr>
          <w:trHeight w:val="1605"/>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745B345"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Tejasvi et al. (2024) [3]</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7FB2E51"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Offered a highly structured approach (GNP) to fusing economic data with ML algorithms.</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4A2CA182"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May struggle with extreme long-term horizons if the underlying economic indicator forecasts are inaccurate.</w:t>
            </w:r>
          </w:p>
        </w:tc>
      </w:tr>
      <w:tr w:rsidR="008C0A79" w14:paraId="71EFEA21" w14:textId="77777777">
        <w:trPr>
          <w:trHeight w:val="1605"/>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FD2792E"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Das et al. (2021) [4]</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87F9BE0"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Provided a comprehensive historical baseline of ML evolution in financial forecasting over a decade.</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28BA2C2"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Purely a retrospective review; did not propose a novel, deployable predictive architecture.</w:t>
            </w:r>
          </w:p>
        </w:tc>
      </w:tr>
      <w:tr w:rsidR="008C0A79" w14:paraId="7A64AA4C" w14:textId="77777777">
        <w:trPr>
          <w:trHeight w:val="1605"/>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BF5E55B"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proofErr w:type="spellStart"/>
            <w:r>
              <w:rPr>
                <w:rFonts w:ascii="Times New Roman" w:eastAsia="Times New Roman" w:hAnsi="Times New Roman" w:cs="Times New Roman"/>
                <w:b/>
                <w:bCs/>
                <w:color w:val="1F1F1F"/>
              </w:rPr>
              <w:t>Gadage</w:t>
            </w:r>
            <w:proofErr w:type="spellEnd"/>
            <w:r>
              <w:rPr>
                <w:rFonts w:ascii="Times New Roman" w:eastAsia="Times New Roman" w:hAnsi="Times New Roman" w:cs="Times New Roman"/>
                <w:b/>
                <w:bCs/>
                <w:color w:val="1F1F1F"/>
              </w:rPr>
              <w:t xml:space="preserve"> &amp; </w:t>
            </w:r>
            <w:proofErr w:type="spellStart"/>
            <w:r>
              <w:rPr>
                <w:rFonts w:ascii="Times New Roman" w:eastAsia="Times New Roman" w:hAnsi="Times New Roman" w:cs="Times New Roman"/>
                <w:b/>
                <w:bCs/>
                <w:color w:val="1F1F1F"/>
              </w:rPr>
              <w:t>Baporikar</w:t>
            </w:r>
            <w:proofErr w:type="spellEnd"/>
            <w:r>
              <w:rPr>
                <w:rFonts w:ascii="Times New Roman" w:eastAsia="Times New Roman" w:hAnsi="Times New Roman" w:cs="Times New Roman"/>
                <w:b/>
                <w:bCs/>
                <w:color w:val="1F1F1F"/>
              </w:rPr>
              <w:t xml:space="preserve"> [5]</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36CA727"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Established a strong theoretical taxonomy for model selection based on varying data distributions.</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A556DDE"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Qualitative survey lacking empirical benchmarking of the discussed algorithms against a unified dataset.</w:t>
            </w:r>
          </w:p>
        </w:tc>
      </w:tr>
      <w:tr w:rsidR="008C0A79" w14:paraId="467A4097" w14:textId="77777777">
        <w:trPr>
          <w:trHeight w:val="1058"/>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2E61ED9"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lastRenderedPageBreak/>
              <w:t>Jahnavi et al. (2025) [6]</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13A1A69"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Rigorously benchmarked econometric formulas against ML, proving the necessity of hybrid approaches.</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D141519"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High computational overhead when running parallel econometric and machine learning pipelines.</w:t>
            </w:r>
          </w:p>
        </w:tc>
      </w:tr>
      <w:tr w:rsidR="008C0A79" w14:paraId="78D66C35" w14:textId="77777777">
        <w:trPr>
          <w:trHeight w:val="1605"/>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B0CB8E5"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Ahmad et al. (2025) [7]</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21E1371"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Demonstrated empirically that hybrid statistical-ML approaches outperform isolated models.</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6DC9F42"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Focused purely on comparative analysis rather than deploying an interactive prediction application.</w:t>
            </w:r>
          </w:p>
        </w:tc>
      </w:tr>
      <w:tr w:rsidR="008C0A79" w14:paraId="7F669FBD" w14:textId="77777777">
        <w:trPr>
          <w:trHeight w:val="1605"/>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5022729"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proofErr w:type="spellStart"/>
            <w:r>
              <w:rPr>
                <w:rFonts w:ascii="Times New Roman" w:eastAsia="Times New Roman" w:hAnsi="Times New Roman" w:cs="Times New Roman"/>
                <w:b/>
                <w:bCs/>
                <w:color w:val="1F1F1F"/>
              </w:rPr>
              <w:t>Plakandaras</w:t>
            </w:r>
            <w:proofErr w:type="spellEnd"/>
            <w:r>
              <w:rPr>
                <w:rFonts w:ascii="Times New Roman" w:eastAsia="Times New Roman" w:hAnsi="Times New Roman" w:cs="Times New Roman"/>
                <w:b/>
                <w:bCs/>
                <w:color w:val="1F1F1F"/>
              </w:rPr>
              <w:t xml:space="preserve"> et al. (2021) [8]</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EA53E1D"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 xml:space="preserve">Bridged the theoretical gap between computer science (ML) and traditional economic </w:t>
            </w:r>
            <w:proofErr w:type="spellStart"/>
            <w:r>
              <w:rPr>
                <w:rFonts w:ascii="Times New Roman" w:eastAsia="Times New Roman" w:hAnsi="Times New Roman" w:cs="Times New Roman"/>
                <w:color w:val="1F1F1F"/>
              </w:rPr>
              <w:t>modeling</w:t>
            </w:r>
            <w:proofErr w:type="spellEnd"/>
            <w:r>
              <w:rPr>
                <w:rFonts w:ascii="Times New Roman" w:eastAsia="Times New Roman" w:hAnsi="Times New Roman" w:cs="Times New Roman"/>
                <w:color w:val="1F1F1F"/>
              </w:rPr>
              <w:t>.</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44CBFCB"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Formulations were heavily theoretical, potentially lacking direct adaptability for simple dashboard deployments.</w:t>
            </w:r>
          </w:p>
        </w:tc>
      </w:tr>
      <w:tr w:rsidR="008C0A79" w14:paraId="5095059E" w14:textId="77777777">
        <w:trPr>
          <w:trHeight w:val="1605"/>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F0B236D"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Madziwa et al. (2022) [9]</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95AD98D"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Effectively captured underlying market volatility and interconnected asset dynamics.</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D58BE9A"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Inherently produces probabilistic bounds rather than deterministic long-term price points.</w:t>
            </w:r>
          </w:p>
        </w:tc>
      </w:tr>
      <w:tr w:rsidR="008C0A79" w14:paraId="3A79CCAE" w14:textId="77777777">
        <w:trPr>
          <w:trHeight w:val="1605"/>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00558FE"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Makala &amp; Li (2021) [10]</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833AC89"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Proved the synergistic capability of combining ARIMA for linear trends with SVM for non-linear residual mapping.</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16F00AE"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Limited in mapping highly complex sequential temporal dependencies compared to deep recurrent networks.</w:t>
            </w:r>
          </w:p>
        </w:tc>
      </w:tr>
      <w:tr w:rsidR="008C0A79" w14:paraId="1CF681C7" w14:textId="77777777">
        <w:trPr>
          <w:trHeight w:val="1605"/>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DAE1543"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Aruna et al. (2021) [11]</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A729450"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Successfully highlighted how various ML pipelines uncover latent, non-obvious historical price trends.</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8B0AD56"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Primarily focused on potential trend classification rather than generating exact future price points.</w:t>
            </w:r>
          </w:p>
        </w:tc>
      </w:tr>
      <w:tr w:rsidR="008C0A79" w14:paraId="3CE34BD8" w14:textId="77777777">
        <w:trPr>
          <w:trHeight w:val="1605"/>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7DD7859"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 xml:space="preserve">Cohen &amp; </w:t>
            </w:r>
            <w:proofErr w:type="spellStart"/>
            <w:r>
              <w:rPr>
                <w:rFonts w:ascii="Times New Roman" w:eastAsia="Times New Roman" w:hAnsi="Times New Roman" w:cs="Times New Roman"/>
                <w:b/>
                <w:bCs/>
                <w:color w:val="1F1F1F"/>
              </w:rPr>
              <w:t>Aiche</w:t>
            </w:r>
            <w:proofErr w:type="spellEnd"/>
            <w:r>
              <w:rPr>
                <w:rFonts w:ascii="Times New Roman" w:eastAsia="Times New Roman" w:hAnsi="Times New Roman" w:cs="Times New Roman"/>
                <w:b/>
                <w:bCs/>
                <w:color w:val="1F1F1F"/>
              </w:rPr>
              <w:t xml:space="preserve"> (2023) [12]</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65ECBFE"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Emphasized that algorithmic architecture design is a primary driver of prediction accuracy.</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DC4AB10"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Sophisticated algorithmic designs often hinder rapid retraining cycles due to computational complexity.</w:t>
            </w:r>
          </w:p>
        </w:tc>
      </w:tr>
      <w:tr w:rsidR="008C0A79" w14:paraId="21BC5C2A" w14:textId="77777777">
        <w:trPr>
          <w:trHeight w:val="1605"/>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6E17ECC"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proofErr w:type="spellStart"/>
            <w:r>
              <w:rPr>
                <w:rFonts w:ascii="Times New Roman" w:eastAsia="Times New Roman" w:hAnsi="Times New Roman" w:cs="Times New Roman"/>
                <w:b/>
                <w:bCs/>
                <w:color w:val="1F1F1F"/>
              </w:rPr>
              <w:lastRenderedPageBreak/>
              <w:t>Livieris</w:t>
            </w:r>
            <w:proofErr w:type="spellEnd"/>
            <w:r>
              <w:rPr>
                <w:rFonts w:ascii="Times New Roman" w:eastAsia="Times New Roman" w:hAnsi="Times New Roman" w:cs="Times New Roman"/>
                <w:b/>
                <w:bCs/>
                <w:color w:val="1F1F1F"/>
              </w:rPr>
              <w:t xml:space="preserve"> et al. (2020) [13]</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3CA5670"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Captured both feature-based and temporal dependencies simultaneously using a CNN-LSTM hybrid.</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4462EA1E"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Requires vast amounts of data to prevent overfitting and is computationally expensive to optimize.</w:t>
            </w:r>
          </w:p>
        </w:tc>
      </w:tr>
      <w:tr w:rsidR="008C0A79" w14:paraId="5FAC6A15" w14:textId="77777777">
        <w:trPr>
          <w:trHeight w:val="1605"/>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22873E0"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Jin &amp; Xu (2025) [14]</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4F23030"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Delivered a highly updated synthesis of modern algorithms, capturing recent advancements in financial ML.</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0A2F9D26"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Acts as a secondary source review; lacks a primary, novel dataset contribution.</w:t>
            </w:r>
          </w:p>
        </w:tc>
      </w:tr>
      <w:tr w:rsidR="008C0A79" w14:paraId="564D12AF" w14:textId="77777777">
        <w:trPr>
          <w:trHeight w:val="1605"/>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46E9911"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Kannan et al. (2024) [15]</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1F32187"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Leveraged rolling average representations to smooth out high-frequency noise and extreme daily volatility.</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75A17B9"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Smoothing techniques inherently risk causing the model to lag during sudden, legitimate market breakouts.</w:t>
            </w:r>
          </w:p>
        </w:tc>
      </w:tr>
    </w:tbl>
    <w:p w14:paraId="65D2B4CA" w14:textId="77777777" w:rsidR="008C0A79" w:rsidRDefault="00000000">
      <w:pPr>
        <w:tabs>
          <w:tab w:val="center" w:pos="4513"/>
          <w:tab w:val="left" w:pos="6984"/>
        </w:tabs>
        <w:spacing w:after="160"/>
        <w:ind w:left="14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Table 1: Comparative Analysis of Advantages and Disadvantages</w:t>
      </w:r>
    </w:p>
    <w:p w14:paraId="5F6E94D4" w14:textId="77777777" w:rsidR="008C0A79" w:rsidRDefault="008C0A79">
      <w:pPr>
        <w:tabs>
          <w:tab w:val="center" w:pos="4513"/>
          <w:tab w:val="left" w:pos="6984"/>
        </w:tabs>
        <w:spacing w:after="160"/>
        <w:ind w:left="1440"/>
        <w:jc w:val="both"/>
        <w:rPr>
          <w:rFonts w:ascii="Times New Roman" w:eastAsia="Times New Roman" w:hAnsi="Times New Roman" w:cs="Times New Roman"/>
        </w:rPr>
      </w:pPr>
    </w:p>
    <w:p w14:paraId="305074FD" w14:textId="77777777" w:rsidR="008C0A79" w:rsidRDefault="008C0A79">
      <w:pPr>
        <w:tabs>
          <w:tab w:val="center" w:pos="4513"/>
          <w:tab w:val="left" w:pos="6984"/>
        </w:tabs>
        <w:spacing w:after="160"/>
        <w:jc w:val="both"/>
        <w:rPr>
          <w:rFonts w:ascii="Times New Roman" w:eastAsia="Times New Roman" w:hAnsi="Times New Roman" w:cs="Times New Roman"/>
        </w:rPr>
      </w:pPr>
    </w:p>
    <w:tbl>
      <w:tblPr>
        <w:tblStyle w:val="a0"/>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5"/>
        <w:gridCol w:w="2235"/>
        <w:gridCol w:w="4515"/>
      </w:tblGrid>
      <w:tr w:rsidR="008C0A79" w14:paraId="7EA6B7C9" w14:textId="77777777">
        <w:trPr>
          <w:trHeight w:val="1050"/>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9A4DDF0"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 xml:space="preserve">Paper </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4E2F35D"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Methodology / Model Used</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19F12F2"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Key Finding / Performance Outcome</w:t>
            </w:r>
          </w:p>
        </w:tc>
      </w:tr>
      <w:tr w:rsidR="008C0A79" w14:paraId="0088AD54" w14:textId="77777777">
        <w:trPr>
          <w:trHeight w:val="1335"/>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CE58D2F"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proofErr w:type="spellStart"/>
            <w:r>
              <w:rPr>
                <w:rFonts w:ascii="Times New Roman" w:eastAsia="Times New Roman" w:hAnsi="Times New Roman" w:cs="Times New Roman"/>
                <w:b/>
                <w:bCs/>
                <w:color w:val="1F1F1F"/>
              </w:rPr>
              <w:t>Mohtasham</w:t>
            </w:r>
            <w:proofErr w:type="spellEnd"/>
            <w:r>
              <w:rPr>
                <w:rFonts w:ascii="Times New Roman" w:eastAsia="Times New Roman" w:hAnsi="Times New Roman" w:cs="Times New Roman"/>
                <w:b/>
                <w:bCs/>
                <w:color w:val="1F1F1F"/>
              </w:rPr>
              <w:t xml:space="preserve"> Khani et al. [1]</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D6624F4"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Deep Learning Architectures</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02A49F87"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Demonstrated significant improvement in capturing extreme price volatility during crisis periods.</w:t>
            </w:r>
          </w:p>
        </w:tc>
      </w:tr>
      <w:tr w:rsidR="008C0A79" w14:paraId="3D1E2A47" w14:textId="77777777">
        <w:trPr>
          <w:trHeight w:val="1335"/>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66E143C"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Kumar et al. [2]</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80B0C6C"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Supervised Machine Learning</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AE84EA6"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Achieved notable error reduction by integrating broader economic health indicators.</w:t>
            </w:r>
          </w:p>
        </w:tc>
      </w:tr>
      <w:tr w:rsidR="008C0A79" w14:paraId="193B2A19" w14:textId="77777777">
        <w:trPr>
          <w:trHeight w:val="1335"/>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948A81B"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Tejasvi et al. [3]</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365E423"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Gold Nexus Predictor (GNP)</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6EDBB66"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Yielded highly correlated market predictions compared to standard baseline models.</w:t>
            </w:r>
          </w:p>
        </w:tc>
      </w:tr>
      <w:tr w:rsidR="008C0A79" w14:paraId="08696A40" w14:textId="77777777">
        <w:trPr>
          <w:trHeight w:val="1335"/>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DCAC63F"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lastRenderedPageBreak/>
              <w:t>Das et al. [4]</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724051A"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Systematic Review</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BE48258"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Established that non-linear ML methods consistently outperform linear models over the decade.</w:t>
            </w:r>
          </w:p>
        </w:tc>
      </w:tr>
      <w:tr w:rsidR="008C0A79" w14:paraId="6A3C87FD" w14:textId="77777777">
        <w:trPr>
          <w:trHeight w:val="1335"/>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F1DCB87"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proofErr w:type="spellStart"/>
            <w:r>
              <w:rPr>
                <w:rFonts w:ascii="Times New Roman" w:eastAsia="Times New Roman" w:hAnsi="Times New Roman" w:cs="Times New Roman"/>
                <w:b/>
                <w:bCs/>
                <w:color w:val="1F1F1F"/>
              </w:rPr>
              <w:t>Gadage</w:t>
            </w:r>
            <w:proofErr w:type="spellEnd"/>
            <w:r>
              <w:rPr>
                <w:rFonts w:ascii="Times New Roman" w:eastAsia="Times New Roman" w:hAnsi="Times New Roman" w:cs="Times New Roman"/>
                <w:b/>
                <w:bCs/>
                <w:color w:val="1F1F1F"/>
              </w:rPr>
              <w:t xml:space="preserve"> &amp; </w:t>
            </w:r>
            <w:proofErr w:type="spellStart"/>
            <w:r>
              <w:rPr>
                <w:rFonts w:ascii="Times New Roman" w:eastAsia="Times New Roman" w:hAnsi="Times New Roman" w:cs="Times New Roman"/>
                <w:b/>
                <w:bCs/>
                <w:color w:val="1F1F1F"/>
              </w:rPr>
              <w:t>Baporikar</w:t>
            </w:r>
            <w:proofErr w:type="spellEnd"/>
            <w:r>
              <w:rPr>
                <w:rFonts w:ascii="Times New Roman" w:eastAsia="Times New Roman" w:hAnsi="Times New Roman" w:cs="Times New Roman"/>
                <w:b/>
                <w:bCs/>
                <w:color w:val="1F1F1F"/>
              </w:rPr>
              <w:t xml:space="preserve"> [5]</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515CF50"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Literature Survey</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0BEFEA9"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Concluded that data distribution dictates model success; no single algorithm is universally superior.</w:t>
            </w:r>
          </w:p>
        </w:tc>
      </w:tr>
      <w:tr w:rsidR="008C0A79" w14:paraId="7F948FE4" w14:textId="77777777">
        <w:trPr>
          <w:trHeight w:val="1335"/>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F39D2A6"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Jahnavi et al. [6]</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852E6B2"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Econometric vs. ML Models</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F6923EF"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Found that comprehensive approaches utilizing both statistical and ML elements minimize forecasting error.</w:t>
            </w:r>
          </w:p>
        </w:tc>
      </w:tr>
      <w:tr w:rsidR="008C0A79" w14:paraId="5DF0F88B" w14:textId="77777777">
        <w:trPr>
          <w:trHeight w:val="1335"/>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16118A4"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Ahmad et al. [7]</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4FAF3F8"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Statistical vs. ML</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A6E20E7"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Empirically validated that hybrid frameworks generate the lowest Mean Absolute Error (MAE).</w:t>
            </w:r>
          </w:p>
        </w:tc>
      </w:tr>
      <w:tr w:rsidR="008C0A79" w14:paraId="731DD6F3" w14:textId="77777777">
        <w:trPr>
          <w:trHeight w:val="1335"/>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07BD703"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proofErr w:type="spellStart"/>
            <w:r>
              <w:rPr>
                <w:rFonts w:ascii="Times New Roman" w:eastAsia="Times New Roman" w:hAnsi="Times New Roman" w:cs="Times New Roman"/>
                <w:b/>
                <w:bCs/>
                <w:color w:val="1F1F1F"/>
              </w:rPr>
              <w:t>Plakandaras</w:t>
            </w:r>
            <w:proofErr w:type="spellEnd"/>
            <w:r>
              <w:rPr>
                <w:rFonts w:ascii="Times New Roman" w:eastAsia="Times New Roman" w:hAnsi="Times New Roman" w:cs="Times New Roman"/>
                <w:b/>
                <w:bCs/>
                <w:color w:val="1F1F1F"/>
              </w:rPr>
              <w:t xml:space="preserve"> et al. [8]</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9F4361A"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 xml:space="preserve">ML in Economic </w:t>
            </w:r>
            <w:proofErr w:type="spellStart"/>
            <w:r>
              <w:rPr>
                <w:rFonts w:ascii="Times New Roman" w:eastAsia="Times New Roman" w:hAnsi="Times New Roman" w:cs="Times New Roman"/>
                <w:color w:val="1F1F1F"/>
              </w:rPr>
              <w:t>Modeling</w:t>
            </w:r>
            <w:proofErr w:type="spellEnd"/>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18CC5D23"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Validated the superior pattern recognition of ML algorithms in chaotic financial datasets.</w:t>
            </w:r>
          </w:p>
        </w:tc>
      </w:tr>
      <w:tr w:rsidR="008C0A79" w14:paraId="65BC29C0" w14:textId="77777777">
        <w:trPr>
          <w:trHeight w:val="1335"/>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ACC188E"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Madziwa et al. [9]</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2D6F3F3"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Multivariate Stochastic Model</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6B598E7C"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Successfully mapped multi-factor influences, generating robust probabilistic forecasting bounds.</w:t>
            </w:r>
          </w:p>
        </w:tc>
      </w:tr>
      <w:tr w:rsidR="008C0A79" w14:paraId="6B1B9A82" w14:textId="77777777">
        <w:trPr>
          <w:trHeight w:val="1335"/>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E9A8A94"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Makala &amp; Li [10]</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9C35C2F"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ARIMA + SVM</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6B439D6"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Demonstrated that SVM effectively corrects the residual errors left by the linear ARIMA baseline.</w:t>
            </w:r>
          </w:p>
        </w:tc>
      </w:tr>
      <w:tr w:rsidR="008C0A79" w14:paraId="5A00A058" w14:textId="77777777">
        <w:trPr>
          <w:trHeight w:val="1050"/>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D037047"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Aruna et al. [11]</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7F721CC"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Standard Machine Learning</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4ED845F5"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Successfully classified and mapped potential long-term price trajectories.</w:t>
            </w:r>
          </w:p>
        </w:tc>
      </w:tr>
      <w:tr w:rsidR="008C0A79" w14:paraId="3E6584A9" w14:textId="77777777">
        <w:trPr>
          <w:trHeight w:val="1335"/>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5142FBA"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lastRenderedPageBreak/>
              <w:t xml:space="preserve">Cohen &amp; </w:t>
            </w:r>
            <w:proofErr w:type="spellStart"/>
            <w:r>
              <w:rPr>
                <w:rFonts w:ascii="Times New Roman" w:eastAsia="Times New Roman" w:hAnsi="Times New Roman" w:cs="Times New Roman"/>
                <w:b/>
                <w:bCs/>
                <w:color w:val="1F1F1F"/>
              </w:rPr>
              <w:t>Aiche</w:t>
            </w:r>
            <w:proofErr w:type="spellEnd"/>
            <w:r>
              <w:rPr>
                <w:rFonts w:ascii="Times New Roman" w:eastAsia="Times New Roman" w:hAnsi="Times New Roman" w:cs="Times New Roman"/>
                <w:b/>
                <w:bCs/>
                <w:color w:val="1F1F1F"/>
              </w:rPr>
              <w:t xml:space="preserve"> [12]</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277D1A7"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Advanced ML Methodologies</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59B2E0C3"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Showed that hyperparameter optimization leads to measurable decreases in Root Mean Square Error (RMSE).</w:t>
            </w:r>
          </w:p>
        </w:tc>
      </w:tr>
      <w:tr w:rsidR="008C0A79" w14:paraId="15D4D950" w14:textId="77777777">
        <w:trPr>
          <w:trHeight w:val="1335"/>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79F2FD8"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proofErr w:type="spellStart"/>
            <w:r>
              <w:rPr>
                <w:rFonts w:ascii="Times New Roman" w:eastAsia="Times New Roman" w:hAnsi="Times New Roman" w:cs="Times New Roman"/>
                <w:b/>
                <w:bCs/>
                <w:color w:val="1F1F1F"/>
              </w:rPr>
              <w:t>Livieris</w:t>
            </w:r>
            <w:proofErr w:type="spellEnd"/>
            <w:r>
              <w:rPr>
                <w:rFonts w:ascii="Times New Roman" w:eastAsia="Times New Roman" w:hAnsi="Times New Roman" w:cs="Times New Roman"/>
                <w:b/>
                <w:bCs/>
                <w:color w:val="1F1F1F"/>
              </w:rPr>
              <w:t xml:space="preserve"> et al. [13]</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0FB5341"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CNN–LSTM Hybrid</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14B599AA"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Achieved state-of-the-art error metrics by independently processing spatial and temporal data.</w:t>
            </w:r>
          </w:p>
        </w:tc>
      </w:tr>
      <w:tr w:rsidR="008C0A79" w14:paraId="0C302356" w14:textId="77777777">
        <w:trPr>
          <w:trHeight w:val="1335"/>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1A1A1A3"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Jin &amp; Xu [14]</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0C2C04F"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Methodological Review</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5A586539"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Synthesized recent implementations, confirming the industry shift toward deep learning.</w:t>
            </w:r>
          </w:p>
        </w:tc>
      </w:tr>
      <w:tr w:rsidR="008C0A79" w14:paraId="475C05E4" w14:textId="77777777">
        <w:trPr>
          <w:trHeight w:val="1335"/>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DC855BD"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Kannan et al. [15]</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98DEFAD"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Rolling Average + ML</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5530ACA4"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Improved model stability and generalized prediction accuracy by eliminating day-to-day noise.</w:t>
            </w:r>
          </w:p>
        </w:tc>
      </w:tr>
    </w:tbl>
    <w:p w14:paraId="305ACE66" w14:textId="77777777" w:rsidR="008C0A79" w:rsidRDefault="00000000">
      <w:pPr>
        <w:tabs>
          <w:tab w:val="center" w:pos="4513"/>
          <w:tab w:val="left" w:pos="6984"/>
        </w:tabs>
        <w:spacing w:after="1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Table 2: Model Performance and Methodological Focus</w:t>
      </w:r>
    </w:p>
    <w:p w14:paraId="26ACFF57" w14:textId="77777777" w:rsidR="008C0A79" w:rsidRDefault="00000000">
      <w:pPr>
        <w:tabs>
          <w:tab w:val="center" w:pos="4513"/>
          <w:tab w:val="left" w:pos="6984"/>
        </w:tabs>
        <w:spacing w:after="160"/>
        <w:jc w:val="both"/>
        <w:rPr>
          <w:rFonts w:ascii="Times New Roman" w:eastAsia="Times New Roman" w:hAnsi="Times New Roman" w:cs="Times New Roman"/>
        </w:rPr>
      </w:pPr>
      <w:r>
        <w:br w:type="page"/>
      </w:r>
    </w:p>
    <w:p w14:paraId="55CC6FBD" w14:textId="77777777" w:rsidR="008C0A79" w:rsidRDefault="00000000">
      <w:pPr>
        <w:tabs>
          <w:tab w:val="center" w:pos="4513"/>
          <w:tab w:val="left" w:pos="6984"/>
        </w:tabs>
        <w:spacing w:after="160"/>
        <w:jc w:val="center"/>
        <w:rPr>
          <w:rFonts w:ascii="Times New Roman" w:eastAsia="Times New Roman" w:hAnsi="Times New Roman" w:cs="Times New Roman"/>
          <w:b/>
          <w:bCs/>
        </w:rPr>
      </w:pPr>
      <w:r>
        <w:rPr>
          <w:rFonts w:ascii="Times New Roman" w:eastAsia="Times New Roman" w:hAnsi="Times New Roman" w:cs="Times New Roman"/>
          <w:b/>
          <w:bCs/>
        </w:rPr>
        <w:lastRenderedPageBreak/>
        <w:t>Chapter 3</w:t>
      </w:r>
    </w:p>
    <w:p w14:paraId="1EE79C46" w14:textId="77777777" w:rsidR="008C0A79" w:rsidRDefault="008C0A79">
      <w:pPr>
        <w:tabs>
          <w:tab w:val="center" w:pos="4513"/>
          <w:tab w:val="left" w:pos="6984"/>
        </w:tabs>
        <w:spacing w:after="160"/>
        <w:jc w:val="center"/>
        <w:rPr>
          <w:rFonts w:ascii="Times New Roman" w:eastAsia="Times New Roman" w:hAnsi="Times New Roman" w:cs="Times New Roman"/>
          <w:b/>
          <w:bCs/>
        </w:rPr>
      </w:pPr>
    </w:p>
    <w:p w14:paraId="3662F183" w14:textId="77777777" w:rsidR="008C0A79" w:rsidRDefault="00000000">
      <w:pPr>
        <w:numPr>
          <w:ilvl w:val="0"/>
          <w:numId w:val="1"/>
        </w:numPr>
        <w:tabs>
          <w:tab w:val="center" w:pos="4513"/>
          <w:tab w:val="left" w:pos="6984"/>
        </w:tabs>
        <w:spacing w:after="200" w:line="259" w:lineRule="auto"/>
        <w:jc w:val="both"/>
        <w:rPr>
          <w:rFonts w:ascii="Times New Roman" w:eastAsia="Times New Roman" w:hAnsi="Times New Roman" w:cs="Times New Roman"/>
        </w:rPr>
      </w:pPr>
      <w:r>
        <w:rPr>
          <w:rFonts w:ascii="Times New Roman" w:eastAsia="Times New Roman" w:hAnsi="Times New Roman" w:cs="Times New Roman"/>
        </w:rPr>
        <w:t>Materials and Methods</w:t>
      </w:r>
    </w:p>
    <w:p w14:paraId="0CD7FE64" w14:textId="77777777" w:rsidR="008C0A79" w:rsidRDefault="00000000">
      <w:pPr>
        <w:numPr>
          <w:ilvl w:val="1"/>
          <w:numId w:val="1"/>
        </w:numPr>
        <w:tabs>
          <w:tab w:val="center" w:pos="4513"/>
          <w:tab w:val="left" w:pos="6984"/>
        </w:tabs>
        <w:spacing w:after="200" w:line="259" w:lineRule="auto"/>
        <w:jc w:val="both"/>
        <w:rPr>
          <w:rFonts w:ascii="Times New Roman" w:eastAsia="Times New Roman" w:hAnsi="Times New Roman" w:cs="Times New Roman"/>
        </w:rPr>
      </w:pPr>
      <w:r>
        <w:rPr>
          <w:rFonts w:ascii="Times New Roman" w:eastAsia="Times New Roman" w:hAnsi="Times New Roman" w:cs="Times New Roman"/>
        </w:rPr>
        <w:t>Introduction</w:t>
      </w:r>
    </w:p>
    <w:p w14:paraId="554706F6"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The purpose of this section is to provide an exhaustive report of the systematic approach adopted for achieving the main goals of this research. This section will detail the entire data science lifecycle, starting at the point where market data was collected and ending at the point where robust forecasting models are implemented. It will provide a complete and thorough account of how the historical financial data used in this research was obtained, how it was structured, and what pre-processing actions were undertaken to ensure that the data produced is accurate. Additionally, this section will provide a thorough account of all of the specialized features that were engineered during the pre-processing phase of the analysis (i.e., how these engineered features were developed to address the unique challenges associated with working with time series data).</w:t>
      </w:r>
    </w:p>
    <w:p w14:paraId="20E2F3E5"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Additionally, EDA was performed on past success to identify the large economic trends, cyclical behaviours in market prices and how volatility is displayed from time to time. Put simply, this chapter gives a step-by-step overview of how the models were designed for forecasting gold's price based on historical financial data. Also explained is the comparison between mechanisms (via Support Vector Machines and SARIMA methods) of how to forecast gold value based on future forecasts. This methodology will allow the reader access to each step in the logic system; however full configurations for hardware/software will exist in using the models. Thus, this methodology provides a foundation from which someone else can create an interactive; more accurate method to forecast gold price from historical financial information.</w:t>
      </w:r>
    </w:p>
    <w:p w14:paraId="3DB35A94" w14:textId="77777777" w:rsidR="008C0A79" w:rsidRDefault="008C0A79">
      <w:pPr>
        <w:tabs>
          <w:tab w:val="center" w:pos="4513"/>
          <w:tab w:val="left" w:pos="6984"/>
        </w:tabs>
        <w:spacing w:after="200" w:line="259" w:lineRule="auto"/>
        <w:ind w:left="1440"/>
        <w:jc w:val="both"/>
        <w:rPr>
          <w:rFonts w:ascii="Times New Roman" w:eastAsia="Times New Roman" w:hAnsi="Times New Roman" w:cs="Times New Roman"/>
        </w:rPr>
      </w:pPr>
    </w:p>
    <w:p w14:paraId="24A6B70F" w14:textId="77777777" w:rsidR="008C0A79" w:rsidRDefault="00000000">
      <w:pPr>
        <w:numPr>
          <w:ilvl w:val="1"/>
          <w:numId w:val="1"/>
        </w:numPr>
        <w:tabs>
          <w:tab w:val="center" w:pos="4513"/>
          <w:tab w:val="left" w:pos="6984"/>
        </w:tabs>
        <w:spacing w:after="200" w:line="259" w:lineRule="auto"/>
        <w:jc w:val="both"/>
        <w:rPr>
          <w:rFonts w:ascii="Times New Roman" w:eastAsia="Times New Roman" w:hAnsi="Times New Roman" w:cs="Times New Roman"/>
        </w:rPr>
      </w:pPr>
      <w:r>
        <w:rPr>
          <w:rFonts w:ascii="Times New Roman" w:eastAsia="Times New Roman" w:hAnsi="Times New Roman" w:cs="Times New Roman"/>
        </w:rPr>
        <w:t>Data Source and Description</w:t>
      </w:r>
    </w:p>
    <w:p w14:paraId="2AC98561"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In order to build an extremely accurate predictive model, one needs to have access to high-quality, reliable and comprehensive data sources. For this research study, the main data source will be the daily historical closing prices of gold, which are expressed in US dollars. These data are originally the result of extracting and collating the raw financial data from Yahoo Finance, one of the world’s largest, most prestigious and most reputable sources of historical financial market data, making certain the data reflect an accurate and correct compilation of the actual global market activity of gold.</w:t>
      </w:r>
    </w:p>
    <w:p w14:paraId="100EA64B"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The current dataset has been downloaded and stored in a CSV file called gold_final.csv. The CSV file format has been selected as it is a lightweight file format that is portable and compatible with Python data analysis libraries (e.g. Pandas, NumPy) and also has the ability to handle very large quantities of sequential dated records. The daily dataset contained within the file is in large tabular format where each trading day is represented by a row in the dataset (thousands of rows). While there are many columns in the dataset, there are only 2 primary columns - 'Date' and 'Close' price. The 'Date' column will be used as the official chronological index that is essential for the purpose of time series forecasting, while the target variable for preprocessing, scaling, and finally, forecasting is the daily 'Close' price. The daily close price was selected for the target variable as it represents the price at which all trades for a particular asset settle at the end of the trading session and reflects the total (combined) intra-day volatility and market sentiment in one value at the end of the trading day.</w:t>
      </w:r>
    </w:p>
    <w:p w14:paraId="1D0E4CBC"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In order for the models employed in this study to be capable of learning macroeconomic trends over a long-term (as opposed to short-term, random fluctuations), the data consists of a period of time as long as 25 years (from August 2000 through August 2025). The 25-year period of time provides an adequate time span over which to study the effect of global economic cycles (such as periods of very high inflation and periods of severe economic </w:t>
      </w:r>
      <w:r>
        <w:rPr>
          <w:rFonts w:ascii="Times New Roman" w:eastAsia="Times New Roman" w:hAnsi="Times New Roman" w:cs="Times New Roman"/>
        </w:rPr>
        <w:lastRenderedPageBreak/>
        <w:t>recession, such as the global economic crisis of 2008, the sudden increase in inflation preceding the start of COVID-19, and the market/stock price shock resulting from the COVID-19 pandemic) when training each machine learning algorithm by tying the model being trained to 25 years' worth of data, it provides a greater confidence level that the model is more robust in terms of how it applies that model to future datasets and, therefore, the models employed in this study will be able to make generalizations about future datasets.</w:t>
      </w:r>
    </w:p>
    <w:p w14:paraId="48A298B2" w14:textId="77777777" w:rsidR="008C0A79" w:rsidRDefault="00000000">
      <w:pPr>
        <w:tabs>
          <w:tab w:val="center" w:pos="4513"/>
          <w:tab w:val="left" w:pos="6984"/>
        </w:tabs>
        <w:spacing w:after="16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20C8BAAF"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The following variables are there in the Datasets:</w:t>
      </w:r>
    </w:p>
    <w:tbl>
      <w:tblPr>
        <w:tblStyle w:val="a1"/>
        <w:tblpPr w:leftFromText="180" w:rightFromText="180" w:topFromText="180" w:bottomFromText="180" w:vertAnchor="text" w:tblpX="1440"/>
        <w:tblW w:w="6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3045"/>
        <w:gridCol w:w="2070"/>
      </w:tblGrid>
      <w:tr w:rsidR="008C0A79" w14:paraId="7F72D544" w14:textId="77777777">
        <w:trPr>
          <w:trHeight w:val="285"/>
        </w:trPr>
        <w:tc>
          <w:tcPr>
            <w:tcW w:w="1860" w:type="dxa"/>
            <w:tcBorders>
              <w:top w:val="single" w:sz="5" w:space="0" w:color="1F1F1F"/>
              <w:left w:val="single" w:sz="5" w:space="0" w:color="1F1F1F"/>
              <w:bottom w:val="single" w:sz="5" w:space="0" w:color="1F1F1F"/>
              <w:right w:val="single" w:sz="5" w:space="0" w:color="1F1F1F"/>
            </w:tcBorders>
            <w:tcMar>
              <w:top w:w="0" w:type="dxa"/>
              <w:bottom w:w="0" w:type="dxa"/>
            </w:tcMar>
          </w:tcPr>
          <w:p w14:paraId="4FAE9321" w14:textId="77777777" w:rsidR="008C0A79" w:rsidRDefault="00000000">
            <w:pPr>
              <w:tabs>
                <w:tab w:val="center" w:pos="4513"/>
                <w:tab w:val="left" w:pos="6984"/>
              </w:tabs>
              <w:spacing w:before="240" w:after="240" w:line="259" w:lineRule="auto"/>
              <w:ind w:left="100"/>
              <w:jc w:val="both"/>
              <w:rPr>
                <w:b/>
                <w:bCs/>
                <w:color w:val="1F1F1F"/>
              </w:rPr>
            </w:pPr>
            <w:r>
              <w:rPr>
                <w:b/>
                <w:bCs/>
                <w:color w:val="1F1F1F"/>
              </w:rPr>
              <w:t>Variable</w:t>
            </w:r>
          </w:p>
        </w:tc>
        <w:tc>
          <w:tcPr>
            <w:tcW w:w="3045" w:type="dxa"/>
            <w:tcBorders>
              <w:top w:val="single" w:sz="5" w:space="0" w:color="1F1F1F"/>
              <w:left w:val="single" w:sz="5" w:space="0" w:color="1F1F1F"/>
              <w:bottom w:val="single" w:sz="5" w:space="0" w:color="1F1F1F"/>
              <w:right w:val="single" w:sz="5" w:space="0" w:color="1F1F1F"/>
            </w:tcBorders>
            <w:tcMar>
              <w:top w:w="0" w:type="dxa"/>
              <w:bottom w:w="0" w:type="dxa"/>
            </w:tcMar>
          </w:tcPr>
          <w:p w14:paraId="774F44BB" w14:textId="77777777" w:rsidR="008C0A79" w:rsidRDefault="00000000">
            <w:pPr>
              <w:tabs>
                <w:tab w:val="center" w:pos="4513"/>
                <w:tab w:val="left" w:pos="6984"/>
              </w:tabs>
              <w:spacing w:before="240" w:after="240" w:line="259" w:lineRule="auto"/>
              <w:ind w:left="100"/>
              <w:jc w:val="both"/>
              <w:rPr>
                <w:b/>
                <w:bCs/>
                <w:color w:val="1F1F1F"/>
              </w:rPr>
            </w:pPr>
            <w:r>
              <w:rPr>
                <w:b/>
                <w:bCs/>
                <w:color w:val="1F1F1F"/>
              </w:rPr>
              <w:t>Description</w:t>
            </w:r>
          </w:p>
        </w:tc>
        <w:tc>
          <w:tcPr>
            <w:tcW w:w="2070" w:type="dxa"/>
            <w:tcBorders>
              <w:top w:val="single" w:sz="5" w:space="0" w:color="1F1F1F"/>
              <w:left w:val="single" w:sz="5" w:space="0" w:color="1F1F1F"/>
              <w:bottom w:val="single" w:sz="5" w:space="0" w:color="1F1F1F"/>
              <w:right w:val="single" w:sz="5" w:space="0" w:color="1F1F1F"/>
            </w:tcBorders>
            <w:tcMar>
              <w:top w:w="0" w:type="dxa"/>
              <w:bottom w:w="0" w:type="dxa"/>
            </w:tcMar>
          </w:tcPr>
          <w:p w14:paraId="370CC1C8" w14:textId="77777777" w:rsidR="008C0A79" w:rsidRDefault="00000000">
            <w:pPr>
              <w:tabs>
                <w:tab w:val="center" w:pos="4513"/>
                <w:tab w:val="left" w:pos="6984"/>
              </w:tabs>
              <w:spacing w:before="240" w:after="240" w:line="259" w:lineRule="auto"/>
              <w:ind w:left="100"/>
              <w:jc w:val="both"/>
              <w:rPr>
                <w:b/>
                <w:bCs/>
                <w:color w:val="1F1F1F"/>
              </w:rPr>
            </w:pPr>
            <w:r>
              <w:rPr>
                <w:b/>
                <w:bCs/>
                <w:color w:val="1F1F1F"/>
              </w:rPr>
              <w:t>Type</w:t>
            </w:r>
          </w:p>
        </w:tc>
      </w:tr>
      <w:tr w:rsidR="008C0A79" w14:paraId="73025B1A" w14:textId="77777777">
        <w:trPr>
          <w:trHeight w:val="555"/>
        </w:trPr>
        <w:tc>
          <w:tcPr>
            <w:tcW w:w="1860" w:type="dxa"/>
            <w:tcBorders>
              <w:top w:val="single" w:sz="5" w:space="0" w:color="1F1F1F"/>
              <w:left w:val="single" w:sz="5" w:space="0" w:color="1F1F1F"/>
              <w:bottom w:val="single" w:sz="5" w:space="0" w:color="1F1F1F"/>
              <w:right w:val="single" w:sz="5" w:space="0" w:color="1F1F1F"/>
            </w:tcBorders>
            <w:tcMar>
              <w:top w:w="0" w:type="dxa"/>
              <w:bottom w:w="0" w:type="dxa"/>
            </w:tcMar>
          </w:tcPr>
          <w:p w14:paraId="736C9A12" w14:textId="77777777" w:rsidR="008C0A79" w:rsidRDefault="00000000">
            <w:pPr>
              <w:tabs>
                <w:tab w:val="center" w:pos="4513"/>
                <w:tab w:val="left" w:pos="6984"/>
              </w:tabs>
              <w:spacing w:before="240" w:after="240" w:line="259" w:lineRule="auto"/>
              <w:ind w:left="100"/>
              <w:jc w:val="both"/>
              <w:rPr>
                <w:b/>
                <w:bCs/>
                <w:color w:val="1F1F1F"/>
              </w:rPr>
            </w:pPr>
            <w:r>
              <w:rPr>
                <w:b/>
                <w:bCs/>
                <w:color w:val="1F1F1F"/>
              </w:rPr>
              <w:t>Date</w:t>
            </w:r>
          </w:p>
        </w:tc>
        <w:tc>
          <w:tcPr>
            <w:tcW w:w="3045" w:type="dxa"/>
            <w:tcBorders>
              <w:top w:val="single" w:sz="5" w:space="0" w:color="1F1F1F"/>
              <w:left w:val="single" w:sz="5" w:space="0" w:color="1F1F1F"/>
              <w:bottom w:val="single" w:sz="5" w:space="0" w:color="1F1F1F"/>
              <w:right w:val="single" w:sz="5" w:space="0" w:color="1F1F1F"/>
            </w:tcBorders>
            <w:tcMar>
              <w:top w:w="0" w:type="dxa"/>
              <w:bottom w:w="0" w:type="dxa"/>
            </w:tcMar>
          </w:tcPr>
          <w:p w14:paraId="285F94DC" w14:textId="77777777" w:rsidR="008C0A79" w:rsidRDefault="00000000">
            <w:pPr>
              <w:tabs>
                <w:tab w:val="center" w:pos="4513"/>
                <w:tab w:val="left" w:pos="6984"/>
              </w:tabs>
              <w:spacing w:before="240" w:after="240" w:line="259" w:lineRule="auto"/>
              <w:ind w:left="100"/>
              <w:jc w:val="both"/>
              <w:rPr>
                <w:color w:val="1F1F1F"/>
              </w:rPr>
            </w:pPr>
            <w:r>
              <w:rPr>
                <w:color w:val="1F1F1F"/>
              </w:rPr>
              <w:t>The specific trading date (Index)</w:t>
            </w:r>
          </w:p>
        </w:tc>
        <w:tc>
          <w:tcPr>
            <w:tcW w:w="2070" w:type="dxa"/>
            <w:tcBorders>
              <w:top w:val="single" w:sz="5" w:space="0" w:color="1F1F1F"/>
              <w:left w:val="single" w:sz="5" w:space="0" w:color="1F1F1F"/>
              <w:bottom w:val="single" w:sz="5" w:space="0" w:color="1F1F1F"/>
              <w:right w:val="single" w:sz="5" w:space="0" w:color="1F1F1F"/>
            </w:tcBorders>
            <w:tcMar>
              <w:top w:w="0" w:type="dxa"/>
              <w:bottom w:w="0" w:type="dxa"/>
            </w:tcMar>
          </w:tcPr>
          <w:p w14:paraId="75DE7A2F" w14:textId="77777777" w:rsidR="008C0A79" w:rsidRDefault="00000000">
            <w:pPr>
              <w:tabs>
                <w:tab w:val="center" w:pos="4513"/>
                <w:tab w:val="left" w:pos="6984"/>
              </w:tabs>
              <w:spacing w:before="240" w:after="240" w:line="259" w:lineRule="auto"/>
              <w:ind w:left="100"/>
              <w:jc w:val="both"/>
              <w:rPr>
                <w:color w:val="1F1F1F"/>
              </w:rPr>
            </w:pPr>
            <w:r>
              <w:rPr>
                <w:color w:val="1F1F1F"/>
              </w:rPr>
              <w:t>Datetime</w:t>
            </w:r>
          </w:p>
        </w:tc>
      </w:tr>
      <w:tr w:rsidR="008C0A79" w14:paraId="21D0AB43" w14:textId="77777777">
        <w:trPr>
          <w:trHeight w:val="555"/>
        </w:trPr>
        <w:tc>
          <w:tcPr>
            <w:tcW w:w="1860" w:type="dxa"/>
            <w:tcBorders>
              <w:top w:val="single" w:sz="5" w:space="0" w:color="1F1F1F"/>
              <w:left w:val="single" w:sz="5" w:space="0" w:color="1F1F1F"/>
              <w:bottom w:val="single" w:sz="5" w:space="0" w:color="1F1F1F"/>
              <w:right w:val="single" w:sz="5" w:space="0" w:color="1F1F1F"/>
            </w:tcBorders>
            <w:tcMar>
              <w:top w:w="0" w:type="dxa"/>
              <w:bottom w:w="0" w:type="dxa"/>
            </w:tcMar>
          </w:tcPr>
          <w:p w14:paraId="3C6DE25E" w14:textId="77777777" w:rsidR="008C0A79" w:rsidRDefault="00000000">
            <w:pPr>
              <w:tabs>
                <w:tab w:val="center" w:pos="4513"/>
                <w:tab w:val="left" w:pos="6984"/>
              </w:tabs>
              <w:spacing w:before="240" w:after="240" w:line="259" w:lineRule="auto"/>
              <w:ind w:left="100"/>
              <w:jc w:val="both"/>
              <w:rPr>
                <w:b/>
                <w:bCs/>
                <w:color w:val="1F1F1F"/>
              </w:rPr>
            </w:pPr>
            <w:r>
              <w:rPr>
                <w:b/>
                <w:bCs/>
                <w:color w:val="1F1F1F"/>
              </w:rPr>
              <w:t>Close</w:t>
            </w:r>
          </w:p>
        </w:tc>
        <w:tc>
          <w:tcPr>
            <w:tcW w:w="3045" w:type="dxa"/>
            <w:tcBorders>
              <w:top w:val="single" w:sz="5" w:space="0" w:color="1F1F1F"/>
              <w:left w:val="single" w:sz="5" w:space="0" w:color="1F1F1F"/>
              <w:bottom w:val="single" w:sz="5" w:space="0" w:color="1F1F1F"/>
              <w:right w:val="single" w:sz="5" w:space="0" w:color="1F1F1F"/>
            </w:tcBorders>
            <w:tcMar>
              <w:top w:w="0" w:type="dxa"/>
              <w:bottom w:w="0" w:type="dxa"/>
            </w:tcMar>
          </w:tcPr>
          <w:p w14:paraId="5E91F59B" w14:textId="77777777" w:rsidR="008C0A79" w:rsidRDefault="00000000">
            <w:pPr>
              <w:tabs>
                <w:tab w:val="center" w:pos="4513"/>
                <w:tab w:val="left" w:pos="6984"/>
              </w:tabs>
              <w:spacing w:before="240" w:after="240" w:line="259" w:lineRule="auto"/>
              <w:ind w:left="100"/>
              <w:jc w:val="both"/>
              <w:rPr>
                <w:color w:val="1F1F1F"/>
              </w:rPr>
            </w:pPr>
            <w:r>
              <w:rPr>
                <w:color w:val="1F1F1F"/>
              </w:rPr>
              <w:t>The final trading price of gold for the day (USD)</w:t>
            </w:r>
          </w:p>
        </w:tc>
        <w:tc>
          <w:tcPr>
            <w:tcW w:w="2070" w:type="dxa"/>
            <w:tcBorders>
              <w:top w:val="single" w:sz="5" w:space="0" w:color="1F1F1F"/>
              <w:left w:val="single" w:sz="5" w:space="0" w:color="1F1F1F"/>
              <w:bottom w:val="single" w:sz="5" w:space="0" w:color="1F1F1F"/>
              <w:right w:val="single" w:sz="5" w:space="0" w:color="1F1F1F"/>
            </w:tcBorders>
            <w:tcMar>
              <w:top w:w="0" w:type="dxa"/>
              <w:bottom w:w="0" w:type="dxa"/>
            </w:tcMar>
          </w:tcPr>
          <w:p w14:paraId="208823C3" w14:textId="77777777" w:rsidR="008C0A79" w:rsidRDefault="00000000">
            <w:pPr>
              <w:tabs>
                <w:tab w:val="center" w:pos="4513"/>
                <w:tab w:val="left" w:pos="6984"/>
              </w:tabs>
              <w:spacing w:before="240" w:after="240" w:line="259" w:lineRule="auto"/>
              <w:ind w:left="100"/>
              <w:jc w:val="both"/>
              <w:rPr>
                <w:color w:val="1F1F1F"/>
              </w:rPr>
            </w:pPr>
            <w:r>
              <w:rPr>
                <w:color w:val="1F1F1F"/>
              </w:rPr>
              <w:t>Numerical (Float)</w:t>
            </w:r>
          </w:p>
        </w:tc>
      </w:tr>
      <w:tr w:rsidR="008C0A79" w14:paraId="169867F2" w14:textId="77777777">
        <w:trPr>
          <w:trHeight w:val="690"/>
        </w:trPr>
        <w:tc>
          <w:tcPr>
            <w:tcW w:w="1860" w:type="dxa"/>
            <w:tcBorders>
              <w:top w:val="single" w:sz="5" w:space="0" w:color="1F1F1F"/>
              <w:left w:val="single" w:sz="5" w:space="0" w:color="1F1F1F"/>
              <w:bottom w:val="single" w:sz="5" w:space="0" w:color="1F1F1F"/>
              <w:right w:val="single" w:sz="5" w:space="0" w:color="1F1F1F"/>
            </w:tcBorders>
            <w:tcMar>
              <w:top w:w="0" w:type="dxa"/>
              <w:bottom w:w="0" w:type="dxa"/>
            </w:tcMar>
          </w:tcPr>
          <w:p w14:paraId="5D46DE63" w14:textId="77777777" w:rsidR="008C0A79" w:rsidRDefault="00000000">
            <w:pPr>
              <w:tabs>
                <w:tab w:val="center" w:pos="4513"/>
                <w:tab w:val="left" w:pos="6984"/>
              </w:tabs>
              <w:spacing w:before="240" w:after="240" w:line="259" w:lineRule="auto"/>
              <w:ind w:left="100"/>
              <w:jc w:val="both"/>
              <w:rPr>
                <w:b/>
                <w:bCs/>
                <w:color w:val="1F1F1F"/>
              </w:rPr>
            </w:pPr>
            <w:r>
              <w:rPr>
                <w:b/>
                <w:bCs/>
                <w:color w:val="1F1F1F"/>
              </w:rPr>
              <w:t>High</w:t>
            </w:r>
          </w:p>
        </w:tc>
        <w:tc>
          <w:tcPr>
            <w:tcW w:w="3045" w:type="dxa"/>
            <w:tcBorders>
              <w:top w:val="single" w:sz="5" w:space="0" w:color="1F1F1F"/>
              <w:left w:val="single" w:sz="5" w:space="0" w:color="1F1F1F"/>
              <w:bottom w:val="single" w:sz="5" w:space="0" w:color="1F1F1F"/>
              <w:right w:val="single" w:sz="5" w:space="0" w:color="1F1F1F"/>
            </w:tcBorders>
            <w:tcMar>
              <w:top w:w="0" w:type="dxa"/>
              <w:bottom w:w="0" w:type="dxa"/>
            </w:tcMar>
          </w:tcPr>
          <w:p w14:paraId="02CE6CE3" w14:textId="77777777" w:rsidR="008C0A79" w:rsidRDefault="00000000">
            <w:pPr>
              <w:tabs>
                <w:tab w:val="center" w:pos="4513"/>
                <w:tab w:val="left" w:pos="6984"/>
              </w:tabs>
              <w:spacing w:before="240" w:after="240" w:line="259" w:lineRule="auto"/>
              <w:ind w:left="100"/>
              <w:jc w:val="both"/>
              <w:rPr>
                <w:color w:val="1F1F1F"/>
              </w:rPr>
            </w:pPr>
            <w:r>
              <w:rPr>
                <w:color w:val="1F1F1F"/>
              </w:rPr>
              <w:t>The highest price reached during the trading day</w:t>
            </w:r>
          </w:p>
        </w:tc>
        <w:tc>
          <w:tcPr>
            <w:tcW w:w="2070" w:type="dxa"/>
            <w:tcBorders>
              <w:top w:val="single" w:sz="5" w:space="0" w:color="1F1F1F"/>
              <w:left w:val="single" w:sz="5" w:space="0" w:color="1F1F1F"/>
              <w:bottom w:val="single" w:sz="5" w:space="0" w:color="1F1F1F"/>
              <w:right w:val="single" w:sz="5" w:space="0" w:color="1F1F1F"/>
            </w:tcBorders>
            <w:tcMar>
              <w:top w:w="0" w:type="dxa"/>
              <w:bottom w:w="0" w:type="dxa"/>
            </w:tcMar>
          </w:tcPr>
          <w:p w14:paraId="4433E9AD" w14:textId="77777777" w:rsidR="008C0A79" w:rsidRDefault="00000000">
            <w:pPr>
              <w:tabs>
                <w:tab w:val="center" w:pos="4513"/>
                <w:tab w:val="left" w:pos="6984"/>
              </w:tabs>
              <w:spacing w:before="240" w:after="240" w:line="259" w:lineRule="auto"/>
              <w:ind w:left="100"/>
              <w:jc w:val="both"/>
              <w:rPr>
                <w:color w:val="1F1F1F"/>
              </w:rPr>
            </w:pPr>
            <w:r>
              <w:rPr>
                <w:color w:val="1F1F1F"/>
              </w:rPr>
              <w:t>Numerical (Float)</w:t>
            </w:r>
          </w:p>
        </w:tc>
      </w:tr>
      <w:tr w:rsidR="008C0A79" w14:paraId="5D37E6ED" w14:textId="77777777">
        <w:trPr>
          <w:trHeight w:val="690"/>
        </w:trPr>
        <w:tc>
          <w:tcPr>
            <w:tcW w:w="1860" w:type="dxa"/>
            <w:tcBorders>
              <w:top w:val="single" w:sz="5" w:space="0" w:color="1F1F1F"/>
              <w:left w:val="single" w:sz="5" w:space="0" w:color="1F1F1F"/>
              <w:bottom w:val="single" w:sz="5" w:space="0" w:color="1F1F1F"/>
              <w:right w:val="single" w:sz="5" w:space="0" w:color="1F1F1F"/>
            </w:tcBorders>
            <w:tcMar>
              <w:top w:w="0" w:type="dxa"/>
              <w:bottom w:w="0" w:type="dxa"/>
            </w:tcMar>
          </w:tcPr>
          <w:p w14:paraId="6FD86E13" w14:textId="77777777" w:rsidR="008C0A79" w:rsidRDefault="00000000">
            <w:pPr>
              <w:tabs>
                <w:tab w:val="center" w:pos="4513"/>
                <w:tab w:val="left" w:pos="6984"/>
              </w:tabs>
              <w:spacing w:before="240" w:after="240" w:line="259" w:lineRule="auto"/>
              <w:ind w:left="100"/>
              <w:jc w:val="both"/>
              <w:rPr>
                <w:b/>
                <w:bCs/>
                <w:color w:val="1F1F1F"/>
              </w:rPr>
            </w:pPr>
            <w:r>
              <w:rPr>
                <w:b/>
                <w:bCs/>
                <w:color w:val="1F1F1F"/>
              </w:rPr>
              <w:t>Low</w:t>
            </w:r>
          </w:p>
        </w:tc>
        <w:tc>
          <w:tcPr>
            <w:tcW w:w="3045" w:type="dxa"/>
            <w:tcBorders>
              <w:top w:val="single" w:sz="5" w:space="0" w:color="1F1F1F"/>
              <w:left w:val="single" w:sz="5" w:space="0" w:color="1F1F1F"/>
              <w:bottom w:val="single" w:sz="5" w:space="0" w:color="1F1F1F"/>
              <w:right w:val="single" w:sz="5" w:space="0" w:color="1F1F1F"/>
            </w:tcBorders>
            <w:tcMar>
              <w:top w:w="0" w:type="dxa"/>
              <w:bottom w:w="0" w:type="dxa"/>
            </w:tcMar>
          </w:tcPr>
          <w:p w14:paraId="5D03D3D3" w14:textId="77777777" w:rsidR="008C0A79" w:rsidRDefault="00000000">
            <w:pPr>
              <w:tabs>
                <w:tab w:val="center" w:pos="4513"/>
                <w:tab w:val="left" w:pos="6984"/>
              </w:tabs>
              <w:spacing w:before="240" w:after="240" w:line="259" w:lineRule="auto"/>
              <w:ind w:left="100"/>
              <w:jc w:val="both"/>
              <w:rPr>
                <w:color w:val="1F1F1F"/>
              </w:rPr>
            </w:pPr>
            <w:r>
              <w:rPr>
                <w:color w:val="1F1F1F"/>
              </w:rPr>
              <w:t>The lowest price reached during the trading day</w:t>
            </w:r>
          </w:p>
        </w:tc>
        <w:tc>
          <w:tcPr>
            <w:tcW w:w="2070" w:type="dxa"/>
            <w:tcBorders>
              <w:top w:val="single" w:sz="5" w:space="0" w:color="1F1F1F"/>
              <w:left w:val="single" w:sz="5" w:space="0" w:color="1F1F1F"/>
              <w:bottom w:val="single" w:sz="5" w:space="0" w:color="1F1F1F"/>
              <w:right w:val="single" w:sz="5" w:space="0" w:color="1F1F1F"/>
            </w:tcBorders>
            <w:tcMar>
              <w:top w:w="0" w:type="dxa"/>
              <w:bottom w:w="0" w:type="dxa"/>
            </w:tcMar>
          </w:tcPr>
          <w:p w14:paraId="76E2287B" w14:textId="77777777" w:rsidR="008C0A79" w:rsidRDefault="00000000">
            <w:pPr>
              <w:tabs>
                <w:tab w:val="center" w:pos="4513"/>
                <w:tab w:val="left" w:pos="6984"/>
              </w:tabs>
              <w:spacing w:before="240" w:after="240" w:line="259" w:lineRule="auto"/>
              <w:ind w:left="100"/>
              <w:jc w:val="both"/>
              <w:rPr>
                <w:color w:val="1F1F1F"/>
              </w:rPr>
            </w:pPr>
            <w:r>
              <w:rPr>
                <w:color w:val="1F1F1F"/>
              </w:rPr>
              <w:t>Numerical (Float)</w:t>
            </w:r>
          </w:p>
        </w:tc>
      </w:tr>
      <w:tr w:rsidR="008C0A79" w14:paraId="57FFA1D5" w14:textId="77777777">
        <w:trPr>
          <w:trHeight w:val="690"/>
        </w:trPr>
        <w:tc>
          <w:tcPr>
            <w:tcW w:w="1860" w:type="dxa"/>
            <w:tcBorders>
              <w:top w:val="single" w:sz="5" w:space="0" w:color="1F1F1F"/>
              <w:left w:val="single" w:sz="5" w:space="0" w:color="1F1F1F"/>
              <w:bottom w:val="single" w:sz="5" w:space="0" w:color="1F1F1F"/>
              <w:right w:val="single" w:sz="5" w:space="0" w:color="1F1F1F"/>
            </w:tcBorders>
            <w:tcMar>
              <w:top w:w="0" w:type="dxa"/>
              <w:bottom w:w="0" w:type="dxa"/>
            </w:tcMar>
          </w:tcPr>
          <w:p w14:paraId="44A2EFD5" w14:textId="77777777" w:rsidR="008C0A79" w:rsidRDefault="00000000">
            <w:pPr>
              <w:tabs>
                <w:tab w:val="center" w:pos="4513"/>
                <w:tab w:val="left" w:pos="6984"/>
              </w:tabs>
              <w:spacing w:before="240" w:after="240" w:line="259" w:lineRule="auto"/>
              <w:ind w:left="100"/>
              <w:jc w:val="both"/>
              <w:rPr>
                <w:b/>
                <w:bCs/>
                <w:color w:val="1F1F1F"/>
              </w:rPr>
            </w:pPr>
            <w:r>
              <w:rPr>
                <w:b/>
                <w:bCs/>
                <w:color w:val="1F1F1F"/>
              </w:rPr>
              <w:t>Open</w:t>
            </w:r>
          </w:p>
        </w:tc>
        <w:tc>
          <w:tcPr>
            <w:tcW w:w="3045" w:type="dxa"/>
            <w:tcBorders>
              <w:top w:val="single" w:sz="5" w:space="0" w:color="1F1F1F"/>
              <w:left w:val="single" w:sz="5" w:space="0" w:color="1F1F1F"/>
              <w:bottom w:val="single" w:sz="5" w:space="0" w:color="1F1F1F"/>
              <w:right w:val="single" w:sz="5" w:space="0" w:color="1F1F1F"/>
            </w:tcBorders>
            <w:tcMar>
              <w:top w:w="0" w:type="dxa"/>
              <w:bottom w:w="0" w:type="dxa"/>
            </w:tcMar>
          </w:tcPr>
          <w:p w14:paraId="39D7A123" w14:textId="77777777" w:rsidR="008C0A79" w:rsidRDefault="00000000">
            <w:pPr>
              <w:tabs>
                <w:tab w:val="center" w:pos="4513"/>
                <w:tab w:val="left" w:pos="6984"/>
              </w:tabs>
              <w:spacing w:before="240" w:after="240" w:line="259" w:lineRule="auto"/>
              <w:ind w:left="100"/>
              <w:jc w:val="both"/>
              <w:rPr>
                <w:color w:val="1F1F1F"/>
              </w:rPr>
            </w:pPr>
            <w:r>
              <w:rPr>
                <w:color w:val="1F1F1F"/>
              </w:rPr>
              <w:t>The initial opening price at the start of the trading day</w:t>
            </w:r>
          </w:p>
        </w:tc>
        <w:tc>
          <w:tcPr>
            <w:tcW w:w="2070" w:type="dxa"/>
            <w:tcBorders>
              <w:top w:val="single" w:sz="5" w:space="0" w:color="1F1F1F"/>
              <w:left w:val="single" w:sz="5" w:space="0" w:color="1F1F1F"/>
              <w:bottom w:val="single" w:sz="5" w:space="0" w:color="1F1F1F"/>
              <w:right w:val="single" w:sz="5" w:space="0" w:color="1F1F1F"/>
            </w:tcBorders>
            <w:tcMar>
              <w:top w:w="0" w:type="dxa"/>
              <w:bottom w:w="0" w:type="dxa"/>
            </w:tcMar>
          </w:tcPr>
          <w:p w14:paraId="204D7EA1" w14:textId="77777777" w:rsidR="008C0A79" w:rsidRDefault="00000000">
            <w:pPr>
              <w:tabs>
                <w:tab w:val="center" w:pos="4513"/>
                <w:tab w:val="left" w:pos="6984"/>
              </w:tabs>
              <w:spacing w:before="240" w:after="240" w:line="259" w:lineRule="auto"/>
              <w:ind w:left="100"/>
              <w:jc w:val="both"/>
              <w:rPr>
                <w:color w:val="1F1F1F"/>
              </w:rPr>
            </w:pPr>
            <w:r>
              <w:rPr>
                <w:color w:val="1F1F1F"/>
              </w:rPr>
              <w:t>Numerical (Float)</w:t>
            </w:r>
          </w:p>
        </w:tc>
      </w:tr>
      <w:tr w:rsidR="008C0A79" w14:paraId="694BB818" w14:textId="77777777">
        <w:trPr>
          <w:trHeight w:val="570"/>
        </w:trPr>
        <w:tc>
          <w:tcPr>
            <w:tcW w:w="1860" w:type="dxa"/>
            <w:tcBorders>
              <w:top w:val="single" w:sz="5" w:space="0" w:color="1F1F1F"/>
              <w:left w:val="single" w:sz="5" w:space="0" w:color="1F1F1F"/>
              <w:bottom w:val="single" w:sz="5" w:space="0" w:color="1F1F1F"/>
              <w:right w:val="single" w:sz="5" w:space="0" w:color="1F1F1F"/>
            </w:tcBorders>
            <w:tcMar>
              <w:top w:w="0" w:type="dxa"/>
              <w:bottom w:w="0" w:type="dxa"/>
            </w:tcMar>
          </w:tcPr>
          <w:p w14:paraId="04F03CD4" w14:textId="77777777" w:rsidR="008C0A79" w:rsidRDefault="00000000">
            <w:pPr>
              <w:tabs>
                <w:tab w:val="center" w:pos="4513"/>
                <w:tab w:val="left" w:pos="6984"/>
              </w:tabs>
              <w:spacing w:before="240" w:after="240" w:line="259" w:lineRule="auto"/>
              <w:ind w:left="100"/>
              <w:jc w:val="both"/>
              <w:rPr>
                <w:b/>
                <w:bCs/>
                <w:color w:val="1F1F1F"/>
              </w:rPr>
            </w:pPr>
            <w:r>
              <w:rPr>
                <w:b/>
                <w:bCs/>
                <w:color w:val="1F1F1F"/>
              </w:rPr>
              <w:t>Volume</w:t>
            </w:r>
          </w:p>
        </w:tc>
        <w:tc>
          <w:tcPr>
            <w:tcW w:w="3045" w:type="dxa"/>
            <w:tcBorders>
              <w:top w:val="single" w:sz="5" w:space="0" w:color="1F1F1F"/>
              <w:left w:val="single" w:sz="5" w:space="0" w:color="1F1F1F"/>
              <w:bottom w:val="single" w:sz="5" w:space="0" w:color="1F1F1F"/>
              <w:right w:val="single" w:sz="5" w:space="0" w:color="1F1F1F"/>
            </w:tcBorders>
            <w:tcMar>
              <w:top w:w="0" w:type="dxa"/>
              <w:bottom w:w="0" w:type="dxa"/>
            </w:tcMar>
          </w:tcPr>
          <w:p w14:paraId="0F5A3955" w14:textId="77777777" w:rsidR="008C0A79" w:rsidRDefault="00000000">
            <w:pPr>
              <w:tabs>
                <w:tab w:val="center" w:pos="4513"/>
                <w:tab w:val="left" w:pos="6984"/>
              </w:tabs>
              <w:spacing w:before="240" w:after="240" w:line="259" w:lineRule="auto"/>
              <w:ind w:left="100"/>
              <w:jc w:val="both"/>
              <w:rPr>
                <w:color w:val="1F1F1F"/>
              </w:rPr>
            </w:pPr>
            <w:r>
              <w:rPr>
                <w:color w:val="1F1F1F"/>
              </w:rPr>
              <w:t>The total number of contracts/shares traded</w:t>
            </w:r>
          </w:p>
        </w:tc>
        <w:tc>
          <w:tcPr>
            <w:tcW w:w="2070" w:type="dxa"/>
            <w:tcBorders>
              <w:top w:val="single" w:sz="5" w:space="0" w:color="1F1F1F"/>
              <w:left w:val="single" w:sz="5" w:space="0" w:color="1F1F1F"/>
              <w:bottom w:val="single" w:sz="5" w:space="0" w:color="1F1F1F"/>
              <w:right w:val="single" w:sz="5" w:space="0" w:color="1F1F1F"/>
            </w:tcBorders>
            <w:tcMar>
              <w:top w:w="0" w:type="dxa"/>
              <w:bottom w:w="0" w:type="dxa"/>
            </w:tcMar>
          </w:tcPr>
          <w:p w14:paraId="13561AB8" w14:textId="77777777" w:rsidR="008C0A79" w:rsidRDefault="00000000">
            <w:pPr>
              <w:tabs>
                <w:tab w:val="center" w:pos="4513"/>
                <w:tab w:val="left" w:pos="6984"/>
              </w:tabs>
              <w:spacing w:before="240" w:after="240" w:line="259" w:lineRule="auto"/>
              <w:ind w:left="100"/>
              <w:jc w:val="both"/>
              <w:rPr>
                <w:color w:val="1F1F1F"/>
              </w:rPr>
            </w:pPr>
            <w:r>
              <w:rPr>
                <w:color w:val="1F1F1F"/>
              </w:rPr>
              <w:t>Numerical (Integer)</w:t>
            </w:r>
          </w:p>
        </w:tc>
      </w:tr>
    </w:tbl>
    <w:p w14:paraId="18E253DA"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 </w:t>
      </w:r>
    </w:p>
    <w:p w14:paraId="3DB79196" w14:textId="77777777" w:rsidR="008C0A79" w:rsidRDefault="008C0A79">
      <w:pPr>
        <w:tabs>
          <w:tab w:val="center" w:pos="4513"/>
          <w:tab w:val="left" w:pos="6984"/>
        </w:tabs>
        <w:spacing w:after="200" w:line="259" w:lineRule="auto"/>
        <w:jc w:val="both"/>
        <w:rPr>
          <w:rFonts w:ascii="Times New Roman" w:eastAsia="Times New Roman" w:hAnsi="Times New Roman" w:cs="Times New Roman"/>
        </w:rPr>
      </w:pPr>
    </w:p>
    <w:p w14:paraId="4658F498" w14:textId="77777777" w:rsidR="008C0A79" w:rsidRDefault="008C0A79">
      <w:pPr>
        <w:tabs>
          <w:tab w:val="center" w:pos="4513"/>
          <w:tab w:val="left" w:pos="6984"/>
        </w:tabs>
        <w:spacing w:after="200" w:line="259" w:lineRule="auto"/>
        <w:jc w:val="both"/>
        <w:rPr>
          <w:rFonts w:ascii="Times New Roman" w:eastAsia="Times New Roman" w:hAnsi="Times New Roman" w:cs="Times New Roman"/>
        </w:rPr>
      </w:pPr>
    </w:p>
    <w:p w14:paraId="5DAC4189" w14:textId="77777777" w:rsidR="008C0A79" w:rsidRDefault="008C0A79">
      <w:pPr>
        <w:tabs>
          <w:tab w:val="center" w:pos="4513"/>
          <w:tab w:val="left" w:pos="6984"/>
        </w:tabs>
        <w:spacing w:after="200" w:line="259" w:lineRule="auto"/>
        <w:jc w:val="both"/>
        <w:rPr>
          <w:rFonts w:ascii="Times New Roman" w:eastAsia="Times New Roman" w:hAnsi="Times New Roman" w:cs="Times New Roman"/>
        </w:rPr>
      </w:pPr>
    </w:p>
    <w:p w14:paraId="345B0833" w14:textId="77777777" w:rsidR="008C0A79" w:rsidRDefault="008C0A79">
      <w:pPr>
        <w:tabs>
          <w:tab w:val="center" w:pos="4513"/>
          <w:tab w:val="left" w:pos="6984"/>
        </w:tabs>
        <w:spacing w:after="200" w:line="259" w:lineRule="auto"/>
        <w:jc w:val="both"/>
        <w:rPr>
          <w:rFonts w:ascii="Times New Roman" w:eastAsia="Times New Roman" w:hAnsi="Times New Roman" w:cs="Times New Roman"/>
        </w:rPr>
      </w:pPr>
    </w:p>
    <w:p w14:paraId="235667CB" w14:textId="77777777" w:rsidR="008C0A79" w:rsidRDefault="008C0A79">
      <w:pPr>
        <w:tabs>
          <w:tab w:val="center" w:pos="4513"/>
          <w:tab w:val="left" w:pos="6984"/>
        </w:tabs>
        <w:spacing w:after="200" w:line="259" w:lineRule="auto"/>
        <w:jc w:val="both"/>
        <w:rPr>
          <w:rFonts w:ascii="Times New Roman" w:eastAsia="Times New Roman" w:hAnsi="Times New Roman" w:cs="Times New Roman"/>
        </w:rPr>
      </w:pPr>
    </w:p>
    <w:p w14:paraId="44D8935D" w14:textId="77777777" w:rsidR="008C0A79" w:rsidRDefault="008C0A79">
      <w:pPr>
        <w:tabs>
          <w:tab w:val="center" w:pos="4513"/>
          <w:tab w:val="left" w:pos="6984"/>
        </w:tabs>
        <w:spacing w:after="200" w:line="259" w:lineRule="auto"/>
        <w:jc w:val="both"/>
        <w:rPr>
          <w:rFonts w:ascii="Times New Roman" w:eastAsia="Times New Roman" w:hAnsi="Times New Roman" w:cs="Times New Roman"/>
        </w:rPr>
      </w:pPr>
    </w:p>
    <w:p w14:paraId="439A2E9A" w14:textId="77777777" w:rsidR="008C0A79" w:rsidRDefault="008C0A79">
      <w:pPr>
        <w:tabs>
          <w:tab w:val="center" w:pos="4513"/>
          <w:tab w:val="left" w:pos="6984"/>
        </w:tabs>
        <w:spacing w:after="200" w:line="259" w:lineRule="auto"/>
        <w:jc w:val="both"/>
        <w:rPr>
          <w:rFonts w:ascii="Times New Roman" w:eastAsia="Times New Roman" w:hAnsi="Times New Roman" w:cs="Times New Roman"/>
        </w:rPr>
      </w:pPr>
    </w:p>
    <w:p w14:paraId="0CFA9F4B" w14:textId="77777777" w:rsidR="008C0A79" w:rsidRDefault="008C0A79">
      <w:pPr>
        <w:tabs>
          <w:tab w:val="center" w:pos="4513"/>
          <w:tab w:val="left" w:pos="6984"/>
        </w:tabs>
        <w:spacing w:after="200" w:line="259" w:lineRule="auto"/>
        <w:jc w:val="both"/>
        <w:rPr>
          <w:rFonts w:ascii="Times New Roman" w:eastAsia="Times New Roman" w:hAnsi="Times New Roman" w:cs="Times New Roman"/>
        </w:rPr>
      </w:pPr>
    </w:p>
    <w:p w14:paraId="05BDAF74" w14:textId="77777777" w:rsidR="008C0A79" w:rsidRDefault="008C0A79">
      <w:pPr>
        <w:tabs>
          <w:tab w:val="center" w:pos="4513"/>
          <w:tab w:val="left" w:pos="6984"/>
        </w:tabs>
        <w:spacing w:after="200" w:line="259" w:lineRule="auto"/>
        <w:jc w:val="both"/>
        <w:rPr>
          <w:rFonts w:ascii="Times New Roman" w:eastAsia="Times New Roman" w:hAnsi="Times New Roman" w:cs="Times New Roman"/>
        </w:rPr>
      </w:pPr>
    </w:p>
    <w:p w14:paraId="5900B940" w14:textId="77777777" w:rsidR="008C0A79" w:rsidRDefault="008C0A79">
      <w:pPr>
        <w:tabs>
          <w:tab w:val="center" w:pos="4513"/>
          <w:tab w:val="left" w:pos="6984"/>
        </w:tabs>
        <w:spacing w:after="200" w:line="259" w:lineRule="auto"/>
        <w:jc w:val="both"/>
        <w:rPr>
          <w:rFonts w:ascii="Times New Roman" w:eastAsia="Times New Roman" w:hAnsi="Times New Roman" w:cs="Times New Roman"/>
        </w:rPr>
      </w:pPr>
    </w:p>
    <w:p w14:paraId="0BCFAA5D" w14:textId="77777777" w:rsidR="008C0A79" w:rsidRDefault="008C0A79">
      <w:pPr>
        <w:tabs>
          <w:tab w:val="center" w:pos="4513"/>
          <w:tab w:val="left" w:pos="6984"/>
        </w:tabs>
        <w:spacing w:after="200" w:line="259" w:lineRule="auto"/>
        <w:jc w:val="both"/>
        <w:rPr>
          <w:rFonts w:ascii="Times New Roman" w:eastAsia="Times New Roman" w:hAnsi="Times New Roman" w:cs="Times New Roman"/>
        </w:rPr>
      </w:pPr>
    </w:p>
    <w:p w14:paraId="38C76AA8" w14:textId="77777777" w:rsidR="008C0A79" w:rsidRDefault="008C0A79">
      <w:pPr>
        <w:tabs>
          <w:tab w:val="center" w:pos="4513"/>
          <w:tab w:val="left" w:pos="6984"/>
        </w:tabs>
        <w:spacing w:after="200" w:line="259" w:lineRule="auto"/>
        <w:jc w:val="both"/>
        <w:rPr>
          <w:rFonts w:ascii="Times New Roman" w:eastAsia="Times New Roman" w:hAnsi="Times New Roman" w:cs="Times New Roman"/>
        </w:rPr>
      </w:pPr>
    </w:p>
    <w:p w14:paraId="555383B3" w14:textId="77777777" w:rsidR="008C0A79" w:rsidRDefault="00000000">
      <w:pPr>
        <w:tabs>
          <w:tab w:val="center" w:pos="4513"/>
          <w:tab w:val="left" w:pos="6984"/>
        </w:tabs>
        <w:spacing w:after="200" w:line="240" w:lineRule="auto"/>
        <w:jc w:val="cente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sz w:val="20"/>
          <w:szCs w:val="20"/>
        </w:rPr>
        <w:t>Table 2: Model Performance and Methodological Focus</w:t>
      </w:r>
    </w:p>
    <w:p w14:paraId="7FF04D9A" w14:textId="77777777" w:rsidR="008C0A79" w:rsidRDefault="00000000">
      <w:pPr>
        <w:numPr>
          <w:ilvl w:val="1"/>
          <w:numId w:val="1"/>
        </w:numPr>
        <w:tabs>
          <w:tab w:val="center" w:pos="4513"/>
          <w:tab w:val="left" w:pos="6984"/>
        </w:tabs>
        <w:spacing w:after="200" w:line="259" w:lineRule="auto"/>
        <w:jc w:val="both"/>
        <w:rPr>
          <w:rFonts w:ascii="Times New Roman" w:eastAsia="Times New Roman" w:hAnsi="Times New Roman" w:cs="Times New Roman"/>
        </w:rPr>
      </w:pPr>
      <w:r>
        <w:rPr>
          <w:rFonts w:ascii="Times New Roman" w:eastAsia="Times New Roman" w:hAnsi="Times New Roman" w:cs="Times New Roman"/>
        </w:rPr>
        <w:t>Data Preprocessing</w:t>
      </w:r>
    </w:p>
    <w:p w14:paraId="40DE1C82"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A critical phase of financial time-series analysis is data preprocessing, as input data quality, structure, and scale will directly influence the predictive quality of forecasting models. Because financial data is typically noisy with extreme short-term volatility, a detailed preprocessing pipeline has been developed to prepare the raw daily data into a mathematically stable format that can be used with both statistical and machine-learning algorithms. </w:t>
      </w:r>
    </w:p>
    <w:p w14:paraId="23F881F7"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Initial data loading and formatting of structure was accomplished using the </w:t>
      </w:r>
      <w:proofErr w:type="gramStart"/>
      <w:r>
        <w:rPr>
          <w:rFonts w:ascii="Times New Roman" w:eastAsia="Times New Roman" w:hAnsi="Times New Roman" w:cs="Times New Roman"/>
        </w:rPr>
        <w:t>pandas</w:t>
      </w:r>
      <w:proofErr w:type="gramEnd"/>
      <w:r>
        <w:rPr>
          <w:rFonts w:ascii="Times New Roman" w:eastAsia="Times New Roman" w:hAnsi="Times New Roman" w:cs="Times New Roman"/>
        </w:rPr>
        <w:t xml:space="preserve"> library in Python for the </w:t>
      </w:r>
      <w:proofErr w:type="spellStart"/>
      <w:r>
        <w:rPr>
          <w:rFonts w:ascii="Times New Roman" w:eastAsia="Times New Roman" w:hAnsi="Times New Roman" w:cs="Times New Roman"/>
        </w:rPr>
        <w:t>iPython</w:t>
      </w:r>
      <w:proofErr w:type="spellEnd"/>
      <w:r>
        <w:rPr>
          <w:rFonts w:ascii="Times New Roman" w:eastAsia="Times New Roman" w:hAnsi="Times New Roman" w:cs="Times New Roman"/>
        </w:rPr>
        <w:t xml:space="preserve"> Notebook environment. The raw data set was loaded, and the column 'Date' was identified and converted to datetime objects. The 'Date' column was set as the index of the </w:t>
      </w:r>
      <w:proofErr w:type="spellStart"/>
      <w:r>
        <w:rPr>
          <w:rFonts w:ascii="Times New Roman" w:eastAsia="Times New Roman" w:hAnsi="Times New Roman" w:cs="Times New Roman"/>
        </w:rPr>
        <w:t>DataFrame</w:t>
      </w:r>
      <w:proofErr w:type="spellEnd"/>
      <w:r>
        <w:rPr>
          <w:rFonts w:ascii="Times New Roman" w:eastAsia="Times New Roman" w:hAnsi="Times New Roman" w:cs="Times New Roman"/>
        </w:rPr>
        <w:t xml:space="preserve">, and all time-series models require that the index be based on a </w:t>
      </w:r>
      <w:proofErr w:type="spellStart"/>
      <w:r>
        <w:rPr>
          <w:rFonts w:ascii="Times New Roman" w:eastAsia="Times New Roman" w:hAnsi="Times New Roman" w:cs="Times New Roman"/>
        </w:rPr>
        <w:t>DatetimeIndex</w:t>
      </w:r>
      <w:proofErr w:type="spellEnd"/>
      <w:r>
        <w:rPr>
          <w:rFonts w:ascii="Times New Roman" w:eastAsia="Times New Roman" w:hAnsi="Times New Roman" w:cs="Times New Roman"/>
        </w:rPr>
        <w:t xml:space="preserve"> (a method of identifying each data point quantitatively) to enable the algorithms to determine the sequential and chronological relationship between data points. Finally, the data was ordered (sorted) in chronological order to ensure no future data was inadvertently "leaked" into past observations during the training phase of model development.</w:t>
      </w:r>
    </w:p>
    <w:p w14:paraId="0F9EB94D"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highlight w:val="white"/>
        </w:rPr>
      </w:pPr>
      <w:r>
        <w:rPr>
          <w:rFonts w:ascii="Times New Roman" w:eastAsia="Times New Roman" w:hAnsi="Times New Roman" w:cs="Times New Roman"/>
          <w:highlight w:val="white"/>
        </w:rPr>
        <w:lastRenderedPageBreak/>
        <w:t>Before performing feature engineering, the overall soundness of the dataset was checked through a thorough analysis of the initial data.</w:t>
      </w:r>
    </w:p>
    <w:p w14:paraId="573766E9" w14:textId="77777777" w:rsidR="008C0A79" w:rsidRDefault="008C0A79">
      <w:pPr>
        <w:tabs>
          <w:tab w:val="center" w:pos="4513"/>
          <w:tab w:val="left" w:pos="6984"/>
        </w:tabs>
        <w:spacing w:after="200" w:line="259" w:lineRule="auto"/>
        <w:ind w:left="1440"/>
        <w:jc w:val="both"/>
        <w:rPr>
          <w:rFonts w:ascii="Times New Roman" w:eastAsia="Times New Roman" w:hAnsi="Times New Roman" w:cs="Times New Roman"/>
          <w:highlight w:val="white"/>
        </w:rPr>
      </w:pPr>
    </w:p>
    <w:p w14:paraId="0373CB5F"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9E244E4" wp14:editId="5879C22F">
            <wp:extent cx="4162425" cy="57496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4162425" cy="5749600"/>
                    </a:xfrm>
                    <a:prstGeom prst="rect">
                      <a:avLst/>
                    </a:prstGeom>
                    <a:ln/>
                  </pic:spPr>
                </pic:pic>
              </a:graphicData>
            </a:graphic>
          </wp:inline>
        </w:drawing>
      </w:r>
    </w:p>
    <w:p w14:paraId="0C4D9D02" w14:textId="77777777" w:rsidR="008C0A79" w:rsidRDefault="00000000">
      <w:pPr>
        <w:tabs>
          <w:tab w:val="center" w:pos="4513"/>
          <w:tab w:val="left" w:pos="6984"/>
        </w:tabs>
        <w:spacing w:after="200" w:line="259" w:lineRule="auto"/>
        <w:ind w:left="1440"/>
        <w:jc w:val="both"/>
        <w:rPr>
          <w:color w:val="131417"/>
          <w:sz w:val="18"/>
          <w:szCs w:val="18"/>
          <w:highlight w:val="white"/>
        </w:rPr>
      </w:pPr>
      <w:r>
        <w:rPr>
          <w:color w:val="131417"/>
          <w:sz w:val="18"/>
          <w:szCs w:val="18"/>
          <w:highlight w:val="white"/>
        </w:rPr>
        <w:t xml:space="preserve">                 Figure 1: Dataset Information and Missing Value Analysis</w:t>
      </w:r>
    </w:p>
    <w:p w14:paraId="188D109F"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Figure 1 attached shows that there are 6,273 total chronological data entries (from August 2000 to August 2025) and that all features within those data entries (Close, High, Low, Open, Volume) contain zero missing or null (i.e., complete) values. This indicates that there </w:t>
      </w:r>
      <w:proofErr w:type="gramStart"/>
      <w:r>
        <w:rPr>
          <w:rFonts w:ascii="Times New Roman" w:eastAsia="Times New Roman" w:hAnsi="Times New Roman" w:cs="Times New Roman"/>
          <w:highlight w:val="white"/>
        </w:rPr>
        <w:t>is</w:t>
      </w:r>
      <w:proofErr w:type="gramEnd"/>
      <w:r>
        <w:rPr>
          <w:rFonts w:ascii="Times New Roman" w:eastAsia="Times New Roman" w:hAnsi="Times New Roman" w:cs="Times New Roman"/>
          <w:highlight w:val="white"/>
        </w:rPr>
        <w:t xml:space="preserve"> full data consistency and continuity across the entire dataset.</w:t>
      </w:r>
    </w:p>
    <w:p w14:paraId="76C374C2"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Daily price action is ideal for high-frequency trading, but this research attempts to devise a method of predicting the trajectory of long-term gold prices. Daily "close" prices contain an abundance of stochastic noise (i.e., random fluctuations of the market). In order to simulate macro-economic trends over a longer-term time horizon and to reduce the daily noise, the daily closing price data were resampled to provide monthly average prices. Using the resample("MS"</w:t>
      </w:r>
      <w:proofErr w:type="gramStart"/>
      <w:r>
        <w:rPr>
          <w:rFonts w:ascii="Times New Roman" w:eastAsia="Times New Roman" w:hAnsi="Times New Roman" w:cs="Times New Roman"/>
          <w:highlight w:val="white"/>
        </w:rPr>
        <w:t>).mean</w:t>
      </w:r>
      <w:proofErr w:type="gramEnd"/>
      <w:r>
        <w:rPr>
          <w:rFonts w:ascii="Times New Roman" w:eastAsia="Times New Roman" w:hAnsi="Times New Roman" w:cs="Times New Roman"/>
          <w:highlight w:val="white"/>
        </w:rPr>
        <w:t xml:space="preserve">() method in pandas (where "MS" means Month Start), the daily closing prices were aggregated into one average price for each of the 12 months. By means of aggregating the daily closing prices into one average for each month, the underlying structural trend of the gold market was identified. All further predictive modelling and mathematical analysis were conducted solely on this monthly average data set. </w:t>
      </w:r>
    </w:p>
    <w:p w14:paraId="43631DE1" w14:textId="77777777" w:rsidR="008C0A79" w:rsidRDefault="008C0A79">
      <w:pPr>
        <w:tabs>
          <w:tab w:val="center" w:pos="4513"/>
          <w:tab w:val="left" w:pos="6984"/>
        </w:tabs>
        <w:spacing w:after="200" w:line="259" w:lineRule="auto"/>
        <w:ind w:left="1440"/>
        <w:jc w:val="both"/>
        <w:rPr>
          <w:rFonts w:ascii="Times New Roman" w:eastAsia="Times New Roman" w:hAnsi="Times New Roman" w:cs="Times New Roman"/>
          <w:highlight w:val="white"/>
        </w:rPr>
      </w:pPr>
    </w:p>
    <w:p w14:paraId="4C7E0DB0"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highlight w:val="white"/>
        </w:rPr>
      </w:pPr>
      <w:r>
        <w:rPr>
          <w:rFonts w:ascii="Times New Roman" w:eastAsia="Times New Roman" w:hAnsi="Times New Roman" w:cs="Times New Roman"/>
          <w:highlight w:val="white"/>
        </w:rPr>
        <w:lastRenderedPageBreak/>
        <w:t>Stationarity Testing &amp; Differencing (For SARIMA): Before a SARIMA was fitted, the time series had to be tested for stationarity. It was apparent from the exploratory analysis that there was a substantial upward trend in gold price. The Augmented Dickey-Fuller (ADF) test was used to mathematically establish whether a unit root was present. The first-order differences (diff(</w:t>
      </w:r>
      <w:proofErr w:type="gramStart"/>
      <w:r>
        <w:rPr>
          <w:rFonts w:ascii="Times New Roman" w:eastAsia="Times New Roman" w:hAnsi="Times New Roman" w:cs="Times New Roman"/>
          <w:highlight w:val="white"/>
        </w:rPr>
        <w:t>).</w:t>
      </w:r>
      <w:proofErr w:type="spellStart"/>
      <w:r>
        <w:rPr>
          <w:rFonts w:ascii="Times New Roman" w:eastAsia="Times New Roman" w:hAnsi="Times New Roman" w:cs="Times New Roman"/>
          <w:highlight w:val="white"/>
        </w:rPr>
        <w:t>dropna</w:t>
      </w:r>
      <w:proofErr w:type="spellEnd"/>
      <w:proofErr w:type="gramEnd"/>
      <w:r>
        <w:rPr>
          <w:rFonts w:ascii="Times New Roman" w:eastAsia="Times New Roman" w:hAnsi="Times New Roman" w:cs="Times New Roman"/>
          <w:highlight w:val="white"/>
        </w:rPr>
        <w:t>()) of the monthly dataset were created in order to meet the strict requirements of the Auto-Regressive Integrated Moving Average methodology by achieving a stabilized mean through eliminating fluctuations in the level of the time series.</w:t>
      </w:r>
    </w:p>
    <w:p w14:paraId="1AE007AF"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To implement the Support Vector Machine (SVM) algorithm, one of the steps was to represent the time series data in a traditional supervised learning format; therefore, feature engineering was necessary to tabulate each observation, and each observation consists only of the dependent variable (the forecasted price) and contributing independent variables (lagged price observations). To facilitate this, a sliding look-back window was used to create a lagged independent variable feature set; the look-back window was set at six months; therefore, each observation was constructed using the price from each of the previous six months (e.g., t-1, t-2, t-3, t-4, t-5, t-6), and these data served as the input features for SVM algorithm to make use of in forecasting the price of the current month (t). The rolling window method allowed the SVM to learn the local momentum and the historical context of the price leading up to any point in time, thus providing additional support for the forecast.</w:t>
      </w:r>
    </w:p>
    <w:p w14:paraId="1F9389E3"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Scaling and Normalizing your Features for Support Vector Machines. Distance-based machine learning techniques such as the Support Vector Machine (SVM) are particularly sensitive to both the magnitude and scale of input data. Historical gold prices, for example, may vary considerably in price between $200 and over $2,500; if they were inputted into the SVM in their original form, the SVM's optimization function would have considerable difficulty converging on a solution efficiently. To address this issue, Feature Scaling has been employed via the scikit-learn library's </w:t>
      </w:r>
      <w:proofErr w:type="spellStart"/>
      <w:r>
        <w:rPr>
          <w:rFonts w:ascii="Times New Roman" w:eastAsia="Times New Roman" w:hAnsi="Times New Roman" w:cs="Times New Roman"/>
          <w:highlight w:val="white"/>
        </w:rPr>
        <w:t>StandardScaler</w:t>
      </w:r>
      <w:proofErr w:type="spellEnd"/>
      <w:r>
        <w:rPr>
          <w:rFonts w:ascii="Times New Roman" w:eastAsia="Times New Roman" w:hAnsi="Times New Roman" w:cs="Times New Roman"/>
          <w:highlight w:val="white"/>
        </w:rPr>
        <w:t xml:space="preserve">. By removing the mean (so that the transformed values have a mean = 0) and scaling the transformed values so that they have a variance of 1, the features will all contribute equally to the SVM's model fitting process. It should be noted that, in order to prevent any potential data leakage, the </w:t>
      </w:r>
      <w:proofErr w:type="spellStart"/>
      <w:r>
        <w:rPr>
          <w:rFonts w:ascii="Times New Roman" w:eastAsia="Times New Roman" w:hAnsi="Times New Roman" w:cs="Times New Roman"/>
          <w:highlight w:val="white"/>
        </w:rPr>
        <w:t>StandardScaler</w:t>
      </w:r>
      <w:proofErr w:type="spellEnd"/>
      <w:r>
        <w:rPr>
          <w:rFonts w:ascii="Times New Roman" w:eastAsia="Times New Roman" w:hAnsi="Times New Roman" w:cs="Times New Roman"/>
          <w:highlight w:val="white"/>
        </w:rPr>
        <w:t xml:space="preserve"> was fit to only the training data (</w:t>
      </w:r>
      <w:proofErr w:type="spellStart"/>
      <w:r>
        <w:rPr>
          <w:rFonts w:ascii="Times New Roman" w:eastAsia="Times New Roman" w:hAnsi="Times New Roman" w:cs="Times New Roman"/>
          <w:highlight w:val="white"/>
        </w:rPr>
        <w:t>X_train</w:t>
      </w:r>
      <w:proofErr w:type="spellEnd"/>
      <w:r>
        <w:rPr>
          <w:rFonts w:ascii="Times New Roman" w:eastAsia="Times New Roman" w:hAnsi="Times New Roman" w:cs="Times New Roman"/>
          <w:highlight w:val="white"/>
        </w:rPr>
        <w:t>); this fit was then applied to the unseen testing data (</w:t>
      </w:r>
      <w:proofErr w:type="spellStart"/>
      <w:r>
        <w:rPr>
          <w:rFonts w:ascii="Times New Roman" w:eastAsia="Times New Roman" w:hAnsi="Times New Roman" w:cs="Times New Roman"/>
          <w:highlight w:val="white"/>
        </w:rPr>
        <w:t>X_test</w:t>
      </w:r>
      <w:proofErr w:type="spellEnd"/>
      <w:r>
        <w:rPr>
          <w:rFonts w:ascii="Times New Roman" w:eastAsia="Times New Roman" w:hAnsi="Times New Roman" w:cs="Times New Roman"/>
          <w:highlight w:val="white"/>
        </w:rPr>
        <w:t>) in order to perform transformations to give the SVM an unbiased evaluation metric for model performance.</w:t>
      </w:r>
    </w:p>
    <w:p w14:paraId="7A1D7D9D" w14:textId="77777777" w:rsidR="008C0A79" w:rsidRDefault="008C0A79">
      <w:pPr>
        <w:tabs>
          <w:tab w:val="center" w:pos="4513"/>
          <w:tab w:val="left" w:pos="6984"/>
        </w:tabs>
        <w:spacing w:after="200" w:line="259" w:lineRule="auto"/>
        <w:ind w:left="1440"/>
        <w:jc w:val="both"/>
        <w:rPr>
          <w:rFonts w:ascii="Times New Roman" w:eastAsia="Times New Roman" w:hAnsi="Times New Roman" w:cs="Times New Roman"/>
          <w:highlight w:val="white"/>
        </w:rPr>
      </w:pPr>
    </w:p>
    <w:p w14:paraId="5868DA0F" w14:textId="77777777" w:rsidR="008C0A79" w:rsidRDefault="00000000">
      <w:pPr>
        <w:numPr>
          <w:ilvl w:val="1"/>
          <w:numId w:val="1"/>
        </w:numPr>
        <w:spacing w:after="80"/>
        <w:rPr>
          <w:rFonts w:ascii="Times New Roman" w:eastAsia="Times New Roman" w:hAnsi="Times New Roman" w:cs="Times New Roman"/>
        </w:rPr>
      </w:pPr>
      <w:r>
        <w:rPr>
          <w:rFonts w:ascii="Times New Roman" w:eastAsia="Times New Roman" w:hAnsi="Times New Roman" w:cs="Times New Roman"/>
          <w:b/>
          <w:bCs/>
        </w:rPr>
        <w:t>Data Exploration &amp; analysis</w:t>
      </w:r>
      <w:r>
        <w:t xml:space="preserve"> </w:t>
      </w:r>
    </w:p>
    <w:p w14:paraId="49824C30" w14:textId="77777777" w:rsidR="008C0A79" w:rsidRDefault="008C0A79">
      <w:pPr>
        <w:spacing w:after="80"/>
        <w:ind w:left="1440"/>
      </w:pPr>
    </w:p>
    <w:p w14:paraId="26B1A601" w14:textId="77777777" w:rsidR="008C0A79" w:rsidRDefault="00000000">
      <w:pPr>
        <w:numPr>
          <w:ilvl w:val="1"/>
          <w:numId w:val="1"/>
        </w:numPr>
        <w:spacing w:after="80"/>
        <w:rPr>
          <w:rFonts w:ascii="Times New Roman" w:eastAsia="Times New Roman" w:hAnsi="Times New Roman" w:cs="Times New Roman"/>
        </w:rPr>
      </w:pPr>
      <w:r>
        <w:rPr>
          <w:rFonts w:ascii="Times New Roman" w:eastAsia="Times New Roman" w:hAnsi="Times New Roman" w:cs="Times New Roman"/>
          <w:b/>
          <w:bCs/>
        </w:rPr>
        <w:t>Process Description</w:t>
      </w:r>
    </w:p>
    <w:p w14:paraId="083A42AB" w14:textId="77777777" w:rsidR="008C0A79" w:rsidRDefault="008C0A79">
      <w:pPr>
        <w:spacing w:after="80"/>
        <w:ind w:left="1440"/>
        <w:rPr>
          <w:rFonts w:ascii="Times New Roman" w:eastAsia="Times New Roman" w:hAnsi="Times New Roman" w:cs="Times New Roman"/>
          <w:b/>
          <w:bCs/>
        </w:rPr>
      </w:pPr>
    </w:p>
    <w:p w14:paraId="3E1C467B" w14:textId="77777777" w:rsidR="008C0A79" w:rsidRDefault="00000000">
      <w:pPr>
        <w:numPr>
          <w:ilvl w:val="1"/>
          <w:numId w:val="1"/>
        </w:numPr>
        <w:spacing w:after="80"/>
        <w:rPr>
          <w:rFonts w:ascii="Times New Roman" w:eastAsia="Times New Roman" w:hAnsi="Times New Roman" w:cs="Times New Roman"/>
        </w:rPr>
      </w:pPr>
      <w:r>
        <w:rPr>
          <w:rFonts w:ascii="Times New Roman" w:eastAsia="Times New Roman" w:hAnsi="Times New Roman" w:cs="Times New Roman"/>
          <w:b/>
          <w:bCs/>
        </w:rPr>
        <w:t>Workflow Diagram</w:t>
      </w:r>
    </w:p>
    <w:p w14:paraId="5DC8A48A" w14:textId="77777777" w:rsidR="008C0A79" w:rsidRDefault="008C0A79">
      <w:pPr>
        <w:spacing w:after="80"/>
        <w:ind w:left="1440"/>
        <w:rPr>
          <w:rFonts w:ascii="Times New Roman" w:eastAsia="Times New Roman" w:hAnsi="Times New Roman" w:cs="Times New Roman"/>
          <w:b/>
          <w:bCs/>
        </w:rPr>
      </w:pPr>
    </w:p>
    <w:p w14:paraId="755D2363"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Figure 1 depicts the methodological process of the research. The process starts with data collection, which is followed by preprocessing, resampling, and data splitting into training and test sets. The workflow then splits into three concurrent branches to train and test the chosen models: the Support Vector Machine (SVM) branch, employing a lookback period; the Linear Regression (LR) branch, employing a time index feature; and the ARIMA/SARIMA branch, employing the resampled data. The tested models are finally combined for comparison, which forms the ultimate forecasting.</w:t>
      </w:r>
    </w:p>
    <w:p w14:paraId="11238454" w14:textId="77777777" w:rsidR="008C0A79" w:rsidRDefault="00000000">
      <w:pPr>
        <w:tabs>
          <w:tab w:val="center" w:pos="4513"/>
          <w:tab w:val="left" w:pos="6984"/>
        </w:tabs>
        <w:spacing w:after="200" w:line="259" w:lineRule="auto"/>
        <w:ind w:left="1133"/>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521B595E" wp14:editId="7E40523F">
            <wp:extent cx="4557713" cy="5104248"/>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4557713" cy="5104248"/>
                    </a:xfrm>
                    <a:prstGeom prst="rect">
                      <a:avLst/>
                    </a:prstGeom>
                    <a:ln/>
                  </pic:spPr>
                </pic:pic>
              </a:graphicData>
            </a:graphic>
          </wp:inline>
        </w:drawing>
      </w:r>
    </w:p>
    <w:p w14:paraId="1A984BA2" w14:textId="77777777" w:rsidR="008C0A79" w:rsidRDefault="00000000">
      <w:pPr>
        <w:tabs>
          <w:tab w:val="center" w:pos="4513"/>
          <w:tab w:val="left" w:pos="6984"/>
        </w:tabs>
        <w:spacing w:after="200" w:line="259" w:lineRule="auto"/>
        <w:ind w:left="708" w:firstLine="135"/>
        <w:jc w:val="center"/>
        <w:rPr>
          <w:rFonts w:ascii="Times New Roman" w:eastAsia="Times New Roman" w:hAnsi="Times New Roman" w:cs="Times New Roman"/>
        </w:rPr>
      </w:pPr>
      <w:r>
        <w:rPr>
          <w:rFonts w:ascii="Times New Roman" w:eastAsia="Times New Roman" w:hAnsi="Times New Roman" w:cs="Times New Roman"/>
          <w:sz w:val="18"/>
          <w:szCs w:val="18"/>
        </w:rPr>
        <w:t>Fig 1. Workflow Diagram</w:t>
      </w:r>
    </w:p>
    <w:p w14:paraId="5F9A3368" w14:textId="77777777" w:rsidR="008C0A79" w:rsidRDefault="008C0A79">
      <w:pPr>
        <w:spacing w:after="80"/>
        <w:rPr>
          <w:rFonts w:ascii="Times New Roman" w:eastAsia="Times New Roman" w:hAnsi="Times New Roman" w:cs="Times New Roman"/>
          <w:b/>
          <w:bCs/>
        </w:rPr>
      </w:pPr>
    </w:p>
    <w:p w14:paraId="39B30768" w14:textId="77777777" w:rsidR="008C0A79" w:rsidRDefault="00000000">
      <w:pPr>
        <w:numPr>
          <w:ilvl w:val="1"/>
          <w:numId w:val="1"/>
        </w:numPr>
        <w:spacing w:after="80"/>
        <w:rPr>
          <w:rFonts w:ascii="Times New Roman" w:eastAsia="Times New Roman" w:hAnsi="Times New Roman" w:cs="Times New Roman"/>
        </w:rPr>
      </w:pPr>
      <w:r>
        <w:rPr>
          <w:rFonts w:ascii="Times New Roman" w:eastAsia="Times New Roman" w:hAnsi="Times New Roman" w:cs="Times New Roman"/>
          <w:b/>
          <w:bCs/>
        </w:rPr>
        <w:t>Hardware and Software Requirements</w:t>
      </w:r>
    </w:p>
    <w:p w14:paraId="242FE677" w14:textId="77777777" w:rsidR="008C0A79" w:rsidRDefault="008C0A79">
      <w:pPr>
        <w:tabs>
          <w:tab w:val="center" w:pos="4513"/>
          <w:tab w:val="left" w:pos="6984"/>
        </w:tabs>
        <w:spacing w:after="200" w:line="259" w:lineRule="auto"/>
        <w:jc w:val="center"/>
        <w:rPr>
          <w:rFonts w:ascii="Times New Roman" w:eastAsia="Times New Roman" w:hAnsi="Times New Roman" w:cs="Times New Roman"/>
          <w:b/>
          <w:bCs/>
        </w:rPr>
      </w:pPr>
    </w:p>
    <w:p w14:paraId="5CA93A39" w14:textId="77777777" w:rsidR="008C0A79" w:rsidRDefault="008C0A79">
      <w:pPr>
        <w:tabs>
          <w:tab w:val="center" w:pos="4513"/>
          <w:tab w:val="left" w:pos="6984"/>
        </w:tabs>
        <w:spacing w:after="200" w:line="259" w:lineRule="auto"/>
        <w:jc w:val="center"/>
        <w:rPr>
          <w:rFonts w:ascii="Times New Roman" w:eastAsia="Times New Roman" w:hAnsi="Times New Roman" w:cs="Times New Roman"/>
          <w:b/>
          <w:bCs/>
        </w:rPr>
      </w:pPr>
    </w:p>
    <w:p w14:paraId="632B7220" w14:textId="77777777" w:rsidR="008C0A79" w:rsidRDefault="008C0A79">
      <w:pPr>
        <w:tabs>
          <w:tab w:val="center" w:pos="4513"/>
          <w:tab w:val="left" w:pos="6984"/>
        </w:tabs>
        <w:spacing w:after="200" w:line="259" w:lineRule="auto"/>
        <w:jc w:val="center"/>
        <w:rPr>
          <w:rFonts w:ascii="Times New Roman" w:eastAsia="Times New Roman" w:hAnsi="Times New Roman" w:cs="Times New Roman"/>
          <w:b/>
          <w:bCs/>
        </w:rPr>
      </w:pPr>
    </w:p>
    <w:p w14:paraId="14C6122A" w14:textId="77777777" w:rsidR="008C0A79" w:rsidRDefault="008C0A79">
      <w:pPr>
        <w:tabs>
          <w:tab w:val="center" w:pos="4513"/>
          <w:tab w:val="left" w:pos="6984"/>
        </w:tabs>
        <w:spacing w:after="200" w:line="259" w:lineRule="auto"/>
        <w:jc w:val="center"/>
        <w:rPr>
          <w:rFonts w:ascii="Times New Roman" w:eastAsia="Times New Roman" w:hAnsi="Times New Roman" w:cs="Times New Roman"/>
          <w:b/>
          <w:bCs/>
        </w:rPr>
      </w:pPr>
    </w:p>
    <w:p w14:paraId="0DB39540" w14:textId="77777777" w:rsidR="008C0A79" w:rsidRDefault="008C0A79">
      <w:pPr>
        <w:tabs>
          <w:tab w:val="center" w:pos="4513"/>
          <w:tab w:val="left" w:pos="6984"/>
        </w:tabs>
        <w:spacing w:after="200" w:line="259" w:lineRule="auto"/>
        <w:jc w:val="center"/>
        <w:rPr>
          <w:rFonts w:ascii="Times New Roman" w:eastAsia="Times New Roman" w:hAnsi="Times New Roman" w:cs="Times New Roman"/>
          <w:b/>
          <w:bCs/>
        </w:rPr>
      </w:pPr>
    </w:p>
    <w:p w14:paraId="3D71705F" w14:textId="77777777" w:rsidR="008C0A79" w:rsidRDefault="008C0A79">
      <w:pPr>
        <w:tabs>
          <w:tab w:val="center" w:pos="4513"/>
          <w:tab w:val="left" w:pos="6984"/>
        </w:tabs>
        <w:spacing w:after="200" w:line="259" w:lineRule="auto"/>
        <w:jc w:val="center"/>
        <w:rPr>
          <w:rFonts w:ascii="Times New Roman" w:eastAsia="Times New Roman" w:hAnsi="Times New Roman" w:cs="Times New Roman"/>
          <w:b/>
          <w:bCs/>
        </w:rPr>
      </w:pPr>
    </w:p>
    <w:p w14:paraId="43F0C839" w14:textId="77777777" w:rsidR="008C0A79" w:rsidRDefault="008C0A79">
      <w:pPr>
        <w:tabs>
          <w:tab w:val="center" w:pos="4513"/>
          <w:tab w:val="left" w:pos="6984"/>
        </w:tabs>
        <w:spacing w:after="200" w:line="259" w:lineRule="auto"/>
        <w:jc w:val="center"/>
        <w:rPr>
          <w:rFonts w:ascii="Times New Roman" w:eastAsia="Times New Roman" w:hAnsi="Times New Roman" w:cs="Times New Roman"/>
          <w:b/>
          <w:bCs/>
        </w:rPr>
      </w:pPr>
    </w:p>
    <w:p w14:paraId="073E1923" w14:textId="77777777" w:rsidR="008C0A79" w:rsidRDefault="008C0A79">
      <w:pPr>
        <w:tabs>
          <w:tab w:val="center" w:pos="4513"/>
          <w:tab w:val="left" w:pos="6984"/>
        </w:tabs>
        <w:spacing w:after="200" w:line="259" w:lineRule="auto"/>
        <w:jc w:val="center"/>
        <w:rPr>
          <w:rFonts w:ascii="Times New Roman" w:eastAsia="Times New Roman" w:hAnsi="Times New Roman" w:cs="Times New Roman"/>
          <w:b/>
          <w:bCs/>
        </w:rPr>
      </w:pPr>
    </w:p>
    <w:p w14:paraId="745712CD" w14:textId="77777777" w:rsidR="008C0A79" w:rsidRDefault="008C0A79">
      <w:pPr>
        <w:tabs>
          <w:tab w:val="center" w:pos="4513"/>
          <w:tab w:val="left" w:pos="6984"/>
        </w:tabs>
        <w:spacing w:after="200" w:line="259" w:lineRule="auto"/>
        <w:jc w:val="center"/>
        <w:rPr>
          <w:rFonts w:ascii="Times New Roman" w:eastAsia="Times New Roman" w:hAnsi="Times New Roman" w:cs="Times New Roman"/>
          <w:b/>
          <w:bCs/>
        </w:rPr>
      </w:pPr>
    </w:p>
    <w:p w14:paraId="4B79406D" w14:textId="77777777" w:rsidR="008C0A79" w:rsidRDefault="008C0A79">
      <w:pPr>
        <w:tabs>
          <w:tab w:val="center" w:pos="4513"/>
          <w:tab w:val="left" w:pos="6984"/>
        </w:tabs>
        <w:spacing w:after="200" w:line="259" w:lineRule="auto"/>
        <w:jc w:val="center"/>
        <w:rPr>
          <w:rFonts w:ascii="Times New Roman" w:eastAsia="Times New Roman" w:hAnsi="Times New Roman" w:cs="Times New Roman"/>
          <w:b/>
          <w:bCs/>
        </w:rPr>
      </w:pPr>
    </w:p>
    <w:p w14:paraId="05A97C7A" w14:textId="77777777" w:rsidR="008C0A79" w:rsidRDefault="008C0A79">
      <w:pPr>
        <w:tabs>
          <w:tab w:val="center" w:pos="4513"/>
          <w:tab w:val="left" w:pos="6984"/>
        </w:tabs>
        <w:spacing w:after="200" w:line="259" w:lineRule="auto"/>
        <w:jc w:val="center"/>
        <w:rPr>
          <w:rFonts w:ascii="Times New Roman" w:eastAsia="Times New Roman" w:hAnsi="Times New Roman" w:cs="Times New Roman"/>
          <w:b/>
          <w:bCs/>
        </w:rPr>
      </w:pPr>
    </w:p>
    <w:p w14:paraId="521916DB" w14:textId="77777777" w:rsidR="008C0A79" w:rsidRDefault="008C0A79">
      <w:pPr>
        <w:tabs>
          <w:tab w:val="center" w:pos="4513"/>
          <w:tab w:val="left" w:pos="6984"/>
        </w:tabs>
        <w:spacing w:after="200" w:line="259" w:lineRule="auto"/>
        <w:jc w:val="center"/>
        <w:rPr>
          <w:rFonts w:ascii="Times New Roman" w:eastAsia="Times New Roman" w:hAnsi="Times New Roman" w:cs="Times New Roman"/>
          <w:b/>
          <w:bCs/>
        </w:rPr>
      </w:pPr>
    </w:p>
    <w:p w14:paraId="278EB4CA" w14:textId="77777777" w:rsidR="008C0A79" w:rsidRDefault="008C0A79">
      <w:pPr>
        <w:tabs>
          <w:tab w:val="center" w:pos="4513"/>
          <w:tab w:val="left" w:pos="6984"/>
        </w:tabs>
        <w:spacing w:after="200" w:line="259" w:lineRule="auto"/>
        <w:jc w:val="center"/>
        <w:rPr>
          <w:rFonts w:ascii="Times New Roman" w:eastAsia="Times New Roman" w:hAnsi="Times New Roman" w:cs="Times New Roman"/>
          <w:b/>
          <w:bCs/>
        </w:rPr>
      </w:pPr>
    </w:p>
    <w:p w14:paraId="28BA6C12" w14:textId="77777777" w:rsidR="008C0A79" w:rsidRDefault="00000000">
      <w:pPr>
        <w:tabs>
          <w:tab w:val="center" w:pos="4513"/>
          <w:tab w:val="left" w:pos="6984"/>
        </w:tabs>
        <w:spacing w:after="200" w:line="259"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Chapter 4</w:t>
      </w:r>
    </w:p>
    <w:p w14:paraId="12D0BB58" w14:textId="77777777" w:rsidR="008C0A79" w:rsidRDefault="00000000">
      <w:pPr>
        <w:numPr>
          <w:ilvl w:val="0"/>
          <w:numId w:val="1"/>
        </w:numPr>
        <w:tabs>
          <w:tab w:val="center" w:pos="4513"/>
          <w:tab w:val="left" w:pos="6984"/>
        </w:tabs>
        <w:spacing w:after="200" w:line="259" w:lineRule="auto"/>
        <w:jc w:val="both"/>
        <w:rPr>
          <w:rFonts w:ascii="Times New Roman" w:eastAsia="Times New Roman" w:hAnsi="Times New Roman" w:cs="Times New Roman"/>
        </w:rPr>
      </w:pPr>
      <w:r>
        <w:rPr>
          <w:rFonts w:ascii="Times New Roman" w:eastAsia="Times New Roman" w:hAnsi="Times New Roman" w:cs="Times New Roman"/>
        </w:rPr>
        <w:t>Model Selection and Implementation</w:t>
      </w:r>
      <w:r>
        <w:rPr>
          <w:rFonts w:ascii="Times New Roman" w:eastAsia="Times New Roman" w:hAnsi="Times New Roman" w:cs="Times New Roman"/>
        </w:rPr>
        <w:tab/>
      </w:r>
    </w:p>
    <w:p w14:paraId="6CAFD969" w14:textId="77777777" w:rsidR="008C0A79" w:rsidRDefault="00000000">
      <w:pPr>
        <w:tabs>
          <w:tab w:val="center" w:pos="4513"/>
          <w:tab w:val="left" w:pos="6984"/>
        </w:tabs>
        <w:spacing w:after="200" w:line="259" w:lineRule="auto"/>
        <w:ind w:left="720"/>
        <w:jc w:val="both"/>
        <w:rPr>
          <w:rFonts w:ascii="Times New Roman" w:eastAsia="Times New Roman" w:hAnsi="Times New Roman" w:cs="Times New Roman"/>
        </w:rPr>
      </w:pPr>
      <w:r>
        <w:rPr>
          <w:rFonts w:ascii="Times New Roman" w:eastAsia="Times New Roman" w:hAnsi="Times New Roman" w:cs="Times New Roman"/>
        </w:rPr>
        <w:t>Four model types were chosen for comparison, both classic time series techniques and machine learning methods:</w:t>
      </w:r>
    </w:p>
    <w:p w14:paraId="3134850F" w14:textId="77777777" w:rsidR="008C0A79" w:rsidRDefault="00000000">
      <w:pPr>
        <w:numPr>
          <w:ilvl w:val="1"/>
          <w:numId w:val="1"/>
        </w:numPr>
        <w:tabs>
          <w:tab w:val="center" w:pos="4513"/>
          <w:tab w:val="left" w:pos="6984"/>
        </w:tabs>
        <w:spacing w:after="200" w:line="259" w:lineRule="auto"/>
        <w:jc w:val="both"/>
        <w:rPr>
          <w:rFonts w:ascii="Times New Roman" w:eastAsia="Times New Roman" w:hAnsi="Times New Roman" w:cs="Times New Roman"/>
        </w:rPr>
      </w:pPr>
      <w:r>
        <w:rPr>
          <w:rFonts w:ascii="Times New Roman" w:eastAsia="Times New Roman" w:hAnsi="Times New Roman" w:cs="Times New Roman"/>
        </w:rPr>
        <w:t>ARIMA (Autoregressive Integrated Moving Average):</w:t>
      </w:r>
    </w:p>
    <w:p w14:paraId="46E16A4A" w14:textId="77777777" w:rsidR="008C0A79" w:rsidRDefault="00000000">
      <w:pPr>
        <w:tabs>
          <w:tab w:val="center" w:pos="4513"/>
          <w:tab w:val="left" w:pos="6984"/>
        </w:tabs>
        <w:spacing w:after="200" w:line="259" w:lineRule="auto"/>
        <w:ind w:left="2160"/>
        <w:jc w:val="both"/>
        <w:rPr>
          <w:rFonts w:ascii="Times New Roman" w:eastAsia="Times New Roman" w:hAnsi="Times New Roman" w:cs="Times New Roman"/>
        </w:rPr>
      </w:pPr>
      <w:r>
        <w:rPr>
          <w:rFonts w:ascii="Times New Roman" w:eastAsia="Times New Roman" w:hAnsi="Times New Roman" w:cs="Times New Roman"/>
        </w:rPr>
        <w:t>A basic non-seasonal time series model.</w:t>
      </w:r>
    </w:p>
    <w:p w14:paraId="50B76A8E" w14:textId="77777777" w:rsidR="008C0A79" w:rsidRDefault="00000000">
      <w:pPr>
        <w:tabs>
          <w:tab w:val="center" w:pos="4513"/>
          <w:tab w:val="left" w:pos="6984"/>
        </w:tabs>
        <w:spacing w:after="200" w:line="259" w:lineRule="auto"/>
        <w:ind w:left="2160"/>
        <w:jc w:val="both"/>
        <w:rPr>
          <w:rFonts w:ascii="Times New Roman" w:eastAsia="Times New Roman" w:hAnsi="Times New Roman" w:cs="Times New Roman"/>
        </w:rPr>
      </w:pPr>
      <w:r>
        <w:rPr>
          <w:rFonts w:ascii="Times New Roman" w:eastAsia="Times New Roman" w:hAnsi="Times New Roman" w:cs="Times New Roman"/>
        </w:rPr>
        <w:t xml:space="preserve">The best orders (p, d, q) were found with the </w:t>
      </w:r>
      <w:proofErr w:type="spellStart"/>
      <w:r>
        <w:rPr>
          <w:rFonts w:ascii="Times New Roman" w:eastAsia="Times New Roman" w:hAnsi="Times New Roman" w:cs="Times New Roman"/>
        </w:rPr>
        <w:t>auto_arima</w:t>
      </w:r>
      <w:proofErr w:type="spellEnd"/>
      <w:r>
        <w:rPr>
          <w:rFonts w:ascii="Times New Roman" w:eastAsia="Times New Roman" w:hAnsi="Times New Roman" w:cs="Times New Roman"/>
        </w:rPr>
        <w:t xml:space="preserve"> function of the </w:t>
      </w:r>
      <w:proofErr w:type="spellStart"/>
      <w:r>
        <w:rPr>
          <w:rFonts w:ascii="Times New Roman" w:eastAsia="Times New Roman" w:hAnsi="Times New Roman" w:cs="Times New Roman"/>
        </w:rPr>
        <w:t>pmdarima</w:t>
      </w:r>
      <w:proofErr w:type="spellEnd"/>
      <w:r>
        <w:rPr>
          <w:rFonts w:ascii="Times New Roman" w:eastAsia="Times New Roman" w:hAnsi="Times New Roman" w:cs="Times New Roman"/>
        </w:rPr>
        <w:t xml:space="preserve"> package, which performs the search process automatically through statistical tests such as ADF and information criteria (e.g., AIC).</w:t>
      </w:r>
    </w:p>
    <w:p w14:paraId="277FA2FA" w14:textId="77777777" w:rsidR="008C0A79" w:rsidRDefault="00000000">
      <w:pPr>
        <w:numPr>
          <w:ilvl w:val="1"/>
          <w:numId w:val="1"/>
        </w:numPr>
        <w:tabs>
          <w:tab w:val="center" w:pos="4513"/>
          <w:tab w:val="left" w:pos="6984"/>
        </w:tabs>
        <w:spacing w:after="200" w:line="259" w:lineRule="auto"/>
        <w:jc w:val="both"/>
        <w:rPr>
          <w:rFonts w:ascii="Times New Roman" w:eastAsia="Times New Roman" w:hAnsi="Times New Roman" w:cs="Times New Roman"/>
        </w:rPr>
      </w:pPr>
      <w:r>
        <w:rPr>
          <w:rFonts w:ascii="Times New Roman" w:eastAsia="Times New Roman" w:hAnsi="Times New Roman" w:cs="Times New Roman"/>
        </w:rPr>
        <w:t>SARIMA (Seasonal ARIMA):</w:t>
      </w:r>
    </w:p>
    <w:p w14:paraId="669C1F0B" w14:textId="77777777" w:rsidR="008C0A79" w:rsidRDefault="00000000">
      <w:pPr>
        <w:tabs>
          <w:tab w:val="center" w:pos="4513"/>
          <w:tab w:val="left" w:pos="6984"/>
        </w:tabs>
        <w:spacing w:after="200" w:line="259" w:lineRule="auto"/>
        <w:ind w:left="2160"/>
        <w:jc w:val="both"/>
        <w:rPr>
          <w:rFonts w:ascii="Times New Roman" w:eastAsia="Times New Roman" w:hAnsi="Times New Roman" w:cs="Times New Roman"/>
        </w:rPr>
      </w:pPr>
      <w:r>
        <w:rPr>
          <w:rFonts w:ascii="Times New Roman" w:eastAsia="Times New Roman" w:hAnsi="Times New Roman" w:cs="Times New Roman"/>
        </w:rPr>
        <w:t xml:space="preserve">An extension of ARIMA that </w:t>
      </w:r>
      <w:proofErr w:type="gramStart"/>
      <w:r>
        <w:rPr>
          <w:rFonts w:ascii="Times New Roman" w:eastAsia="Times New Roman" w:hAnsi="Times New Roman" w:cs="Times New Roman"/>
        </w:rPr>
        <w:t>models</w:t>
      </w:r>
      <w:proofErr w:type="gramEnd"/>
      <w:r>
        <w:rPr>
          <w:rFonts w:ascii="Times New Roman" w:eastAsia="Times New Roman" w:hAnsi="Times New Roman" w:cs="Times New Roman"/>
        </w:rPr>
        <w:t xml:space="preserve"> seasonality explicitly.</w:t>
      </w:r>
    </w:p>
    <w:p w14:paraId="0E5FDB1E" w14:textId="77777777" w:rsidR="008C0A79" w:rsidRDefault="00000000">
      <w:pPr>
        <w:tabs>
          <w:tab w:val="center" w:pos="4513"/>
          <w:tab w:val="left" w:pos="6984"/>
        </w:tabs>
        <w:spacing w:after="200" w:line="259" w:lineRule="auto"/>
        <w:ind w:left="2160"/>
        <w:jc w:val="both"/>
        <w:rPr>
          <w:rFonts w:ascii="Times New Roman" w:eastAsia="Times New Roman" w:hAnsi="Times New Roman" w:cs="Times New Roman"/>
        </w:rPr>
      </w:pPr>
      <w:r>
        <w:rPr>
          <w:rFonts w:ascii="Times New Roman" w:eastAsia="Times New Roman" w:hAnsi="Times New Roman" w:cs="Times New Roman"/>
        </w:rPr>
        <w:t xml:space="preserve">The best non-seasonal (p, d, q) and seasonal (P, D, Q, m) orders were found with </w:t>
      </w:r>
      <w:proofErr w:type="spellStart"/>
      <w:proofErr w:type="gramStart"/>
      <w:r>
        <w:rPr>
          <w:rFonts w:ascii="Times New Roman" w:eastAsia="Times New Roman" w:hAnsi="Times New Roman" w:cs="Times New Roman"/>
        </w:rPr>
        <w:t>pmdarima.auto</w:t>
      </w:r>
      <w:proofErr w:type="gramEnd"/>
      <w:r>
        <w:rPr>
          <w:rFonts w:ascii="Times New Roman" w:eastAsia="Times New Roman" w:hAnsi="Times New Roman" w:cs="Times New Roman"/>
        </w:rPr>
        <w:t>_arima</w:t>
      </w:r>
      <w:proofErr w:type="spellEnd"/>
      <w:r>
        <w:rPr>
          <w:rFonts w:ascii="Times New Roman" w:eastAsia="Times New Roman" w:hAnsi="Times New Roman" w:cs="Times New Roman"/>
        </w:rPr>
        <w:t>, where the period of seasonality m was specified as 12 to identify yearly trends in the monthly data.</w:t>
      </w:r>
    </w:p>
    <w:p w14:paraId="0E65B384" w14:textId="77777777" w:rsidR="008C0A79" w:rsidRDefault="00000000">
      <w:pPr>
        <w:numPr>
          <w:ilvl w:val="1"/>
          <w:numId w:val="1"/>
        </w:numPr>
        <w:tabs>
          <w:tab w:val="center" w:pos="4513"/>
          <w:tab w:val="left" w:pos="6984"/>
        </w:tabs>
        <w:spacing w:after="200" w:line="259" w:lineRule="auto"/>
        <w:jc w:val="both"/>
        <w:rPr>
          <w:rFonts w:ascii="Times New Roman" w:eastAsia="Times New Roman" w:hAnsi="Times New Roman" w:cs="Times New Roman"/>
        </w:rPr>
      </w:pPr>
      <w:r>
        <w:rPr>
          <w:rFonts w:ascii="Times New Roman" w:eastAsia="Times New Roman" w:hAnsi="Times New Roman" w:cs="Times New Roman"/>
        </w:rPr>
        <w:t>Linear Regression:</w:t>
      </w:r>
    </w:p>
    <w:p w14:paraId="6EA48978" w14:textId="77777777" w:rsidR="008C0A79" w:rsidRDefault="00000000">
      <w:pPr>
        <w:tabs>
          <w:tab w:val="center" w:pos="4513"/>
          <w:tab w:val="left" w:pos="6984"/>
        </w:tabs>
        <w:spacing w:after="200" w:line="259" w:lineRule="auto"/>
        <w:ind w:left="2160"/>
        <w:jc w:val="both"/>
        <w:rPr>
          <w:rFonts w:ascii="Times New Roman" w:eastAsia="Times New Roman" w:hAnsi="Times New Roman" w:cs="Times New Roman"/>
        </w:rPr>
      </w:pPr>
      <w:r>
        <w:rPr>
          <w:rFonts w:ascii="Times New Roman" w:eastAsia="Times New Roman" w:hAnsi="Times New Roman" w:cs="Times New Roman"/>
        </w:rPr>
        <w:t>A simple regression model as a baseline.</w:t>
      </w:r>
    </w:p>
    <w:p w14:paraId="393ABB7A" w14:textId="77777777" w:rsidR="008C0A79" w:rsidRDefault="00000000">
      <w:pPr>
        <w:tabs>
          <w:tab w:val="center" w:pos="4513"/>
          <w:tab w:val="left" w:pos="6984"/>
        </w:tabs>
        <w:spacing w:after="200" w:line="259" w:lineRule="auto"/>
        <w:ind w:left="2160"/>
        <w:jc w:val="both"/>
        <w:rPr>
          <w:rFonts w:ascii="Times New Roman" w:eastAsia="Times New Roman" w:hAnsi="Times New Roman" w:cs="Times New Roman"/>
        </w:rPr>
      </w:pPr>
      <w:r>
        <w:rPr>
          <w:rFonts w:ascii="Times New Roman" w:eastAsia="Times New Roman" w:hAnsi="Times New Roman" w:cs="Times New Roman"/>
        </w:rPr>
        <w:t xml:space="preserve">Implemented with </w:t>
      </w:r>
      <w:proofErr w:type="spellStart"/>
      <w:r>
        <w:rPr>
          <w:rFonts w:ascii="Times New Roman" w:eastAsia="Times New Roman" w:hAnsi="Times New Roman" w:cs="Times New Roman"/>
        </w:rPr>
        <w:t>LinearRegression</w:t>
      </w:r>
      <w:proofErr w:type="spellEnd"/>
      <w:r>
        <w:rPr>
          <w:rFonts w:ascii="Times New Roman" w:eastAsia="Times New Roman" w:hAnsi="Times New Roman" w:cs="Times New Roman"/>
        </w:rPr>
        <w:t xml:space="preserve"> from scikit-learn. A straightforward time index (sequential number that indexes the month) as input feature.</w:t>
      </w:r>
    </w:p>
    <w:p w14:paraId="1D370CF7" w14:textId="77777777" w:rsidR="008C0A79" w:rsidRDefault="00000000">
      <w:pPr>
        <w:numPr>
          <w:ilvl w:val="1"/>
          <w:numId w:val="1"/>
        </w:numPr>
        <w:tabs>
          <w:tab w:val="center" w:pos="4513"/>
          <w:tab w:val="left" w:pos="6984"/>
        </w:tabs>
        <w:spacing w:after="200" w:line="259" w:lineRule="auto"/>
        <w:jc w:val="both"/>
        <w:rPr>
          <w:rFonts w:ascii="Times New Roman" w:eastAsia="Times New Roman" w:hAnsi="Times New Roman" w:cs="Times New Roman"/>
        </w:rPr>
      </w:pPr>
      <w:r>
        <w:rPr>
          <w:rFonts w:ascii="Times New Roman" w:eastAsia="Times New Roman" w:hAnsi="Times New Roman" w:cs="Times New Roman"/>
        </w:rPr>
        <w:t>SVM (Support Vector Machine) / SVR (Support Vector Regression):</w:t>
      </w:r>
    </w:p>
    <w:p w14:paraId="63F92ACF" w14:textId="77777777" w:rsidR="008C0A79" w:rsidRDefault="00000000">
      <w:pPr>
        <w:tabs>
          <w:tab w:val="center" w:pos="4513"/>
          <w:tab w:val="left" w:pos="6984"/>
        </w:tabs>
        <w:spacing w:after="200" w:line="259" w:lineRule="auto"/>
        <w:ind w:left="2160"/>
        <w:jc w:val="both"/>
        <w:rPr>
          <w:rFonts w:ascii="Times New Roman" w:eastAsia="Times New Roman" w:hAnsi="Times New Roman" w:cs="Times New Roman"/>
        </w:rPr>
      </w:pPr>
      <w:r>
        <w:rPr>
          <w:rFonts w:ascii="Times New Roman" w:eastAsia="Times New Roman" w:hAnsi="Times New Roman" w:cs="Times New Roman"/>
        </w:rPr>
        <w:t>A machine learning algorithm that can learn non-linear relationships. Utilized through SVR from scikit-learn.</w:t>
      </w:r>
    </w:p>
    <w:p w14:paraId="68EC2130" w14:textId="77777777" w:rsidR="008C0A79" w:rsidRDefault="00000000">
      <w:pPr>
        <w:tabs>
          <w:tab w:val="center" w:pos="4513"/>
          <w:tab w:val="left" w:pos="6984"/>
        </w:tabs>
        <w:spacing w:after="200" w:line="259" w:lineRule="auto"/>
        <w:ind w:left="2160"/>
        <w:jc w:val="both"/>
        <w:rPr>
          <w:rFonts w:ascii="Times New Roman" w:eastAsia="Times New Roman" w:hAnsi="Times New Roman" w:cs="Times New Roman"/>
        </w:rPr>
      </w:pPr>
      <w:r>
        <w:rPr>
          <w:rFonts w:ascii="Times New Roman" w:eastAsia="Times New Roman" w:hAnsi="Times New Roman" w:cs="Times New Roman"/>
        </w:rPr>
        <w:t>The following three different kernel functions were tried out:</w:t>
      </w:r>
    </w:p>
    <w:p w14:paraId="45C20E0C" w14:textId="77777777" w:rsidR="008C0A79" w:rsidRDefault="00000000">
      <w:pPr>
        <w:tabs>
          <w:tab w:val="center" w:pos="4513"/>
          <w:tab w:val="left" w:pos="6984"/>
        </w:tabs>
        <w:spacing w:after="200" w:line="259" w:lineRule="auto"/>
        <w:ind w:left="2160"/>
        <w:jc w:val="both"/>
        <w:rPr>
          <w:rFonts w:ascii="Times New Roman" w:eastAsia="Times New Roman" w:hAnsi="Times New Roman" w:cs="Times New Roman"/>
        </w:rPr>
      </w:pPr>
      <w:r>
        <w:rPr>
          <w:rFonts w:ascii="Times New Roman" w:eastAsia="Times New Roman" w:hAnsi="Times New Roman" w:cs="Times New Roman"/>
        </w:rPr>
        <w:t>Linear Kernel: To model linear relationships.</w:t>
      </w:r>
    </w:p>
    <w:p w14:paraId="40A1B382" w14:textId="77777777" w:rsidR="008C0A79" w:rsidRDefault="00000000">
      <w:pPr>
        <w:tabs>
          <w:tab w:val="center" w:pos="4513"/>
          <w:tab w:val="left" w:pos="6984"/>
        </w:tabs>
        <w:spacing w:after="200" w:line="259" w:lineRule="auto"/>
        <w:ind w:left="2160"/>
        <w:jc w:val="both"/>
        <w:rPr>
          <w:rFonts w:ascii="Times New Roman" w:eastAsia="Times New Roman" w:hAnsi="Times New Roman" w:cs="Times New Roman"/>
        </w:rPr>
      </w:pPr>
      <w:r>
        <w:rPr>
          <w:rFonts w:ascii="Times New Roman" w:eastAsia="Times New Roman" w:hAnsi="Times New Roman" w:cs="Times New Roman"/>
        </w:rPr>
        <w:t xml:space="preserve">RBF (Radial Basis Function) Kernel: A popular choice for </w:t>
      </w:r>
      <w:proofErr w:type="spellStart"/>
      <w:r>
        <w:rPr>
          <w:rFonts w:ascii="Times New Roman" w:eastAsia="Times New Roman" w:hAnsi="Times New Roman" w:cs="Times New Roman"/>
        </w:rPr>
        <w:t>modeling</w:t>
      </w:r>
      <w:proofErr w:type="spellEnd"/>
      <w:r>
        <w:rPr>
          <w:rFonts w:ascii="Times New Roman" w:eastAsia="Times New Roman" w:hAnsi="Times New Roman" w:cs="Times New Roman"/>
        </w:rPr>
        <w:t xml:space="preserve"> complicated, non-linear patterns (gamma set to 'scale').</w:t>
      </w:r>
    </w:p>
    <w:p w14:paraId="16705134" w14:textId="140CFD12" w:rsidR="004C3F8E" w:rsidRDefault="00000000">
      <w:pPr>
        <w:tabs>
          <w:tab w:val="center" w:pos="4513"/>
          <w:tab w:val="left" w:pos="6984"/>
        </w:tabs>
        <w:spacing w:after="200" w:line="259" w:lineRule="auto"/>
        <w:ind w:left="2160"/>
        <w:jc w:val="both"/>
        <w:rPr>
          <w:rFonts w:ascii="Times New Roman" w:eastAsia="Times New Roman" w:hAnsi="Times New Roman" w:cs="Times New Roman"/>
        </w:rPr>
      </w:pPr>
      <w:r>
        <w:rPr>
          <w:rFonts w:ascii="Times New Roman" w:eastAsia="Times New Roman" w:hAnsi="Times New Roman" w:cs="Times New Roman"/>
        </w:rPr>
        <w:t>Polynomial Kernel: To model polynomial relationships (tested with degree=2 and gamma set to 'scale').</w:t>
      </w:r>
    </w:p>
    <w:p w14:paraId="515547BF" w14:textId="77777777" w:rsidR="004C3F8E" w:rsidRDefault="004C3F8E">
      <w:pPr>
        <w:rPr>
          <w:rFonts w:ascii="Times New Roman" w:eastAsia="Times New Roman" w:hAnsi="Times New Roman" w:cs="Times New Roman"/>
        </w:rPr>
      </w:pPr>
      <w:r>
        <w:rPr>
          <w:rFonts w:ascii="Times New Roman" w:eastAsia="Times New Roman" w:hAnsi="Times New Roman" w:cs="Times New Roman"/>
        </w:rPr>
        <w:br w:type="page"/>
      </w:r>
    </w:p>
    <w:p w14:paraId="659714D0" w14:textId="491DEA99" w:rsidR="004C3F8E" w:rsidRDefault="004C3F8E" w:rsidP="004C3F8E">
      <w:pPr>
        <w:tabs>
          <w:tab w:val="center" w:pos="4513"/>
          <w:tab w:val="left" w:pos="6984"/>
        </w:tabs>
        <w:spacing w:after="200" w:line="259"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 xml:space="preserve">Chapter </w:t>
      </w:r>
      <w:r>
        <w:rPr>
          <w:rFonts w:ascii="Times New Roman" w:eastAsia="Times New Roman" w:hAnsi="Times New Roman" w:cs="Times New Roman"/>
          <w:b/>
          <w:bCs/>
        </w:rPr>
        <w:t>5</w:t>
      </w:r>
    </w:p>
    <w:p w14:paraId="557C13B5" w14:textId="28D2B9E6" w:rsidR="008C0A79" w:rsidRPr="004C3F8E" w:rsidRDefault="004C3F8E" w:rsidP="004C3F8E">
      <w:pPr>
        <w:numPr>
          <w:ilvl w:val="0"/>
          <w:numId w:val="1"/>
        </w:numPr>
        <w:tabs>
          <w:tab w:val="center" w:pos="4513"/>
          <w:tab w:val="left" w:pos="6984"/>
        </w:tabs>
        <w:spacing w:after="200" w:line="259" w:lineRule="auto"/>
        <w:jc w:val="both"/>
        <w:rPr>
          <w:rFonts w:ascii="Times New Roman" w:eastAsia="Times New Roman" w:hAnsi="Times New Roman" w:cs="Times New Roman"/>
        </w:rPr>
      </w:pPr>
      <w:r w:rsidRPr="004C3F8E">
        <w:rPr>
          <w:rFonts w:ascii="Times New Roman" w:eastAsia="Times New Roman" w:hAnsi="Times New Roman" w:cs="Times New Roman"/>
        </w:rPr>
        <w:t>Conclusion</w:t>
      </w:r>
    </w:p>
    <w:p w14:paraId="6DE7FC99" w14:textId="77777777" w:rsidR="008C0A79" w:rsidRDefault="008C0A79">
      <w:pPr>
        <w:spacing w:before="14" w:line="195" w:lineRule="auto"/>
        <w:ind w:left="2160"/>
        <w:rPr>
          <w:rFonts w:ascii="Times New Roman" w:eastAsia="Times New Roman" w:hAnsi="Times New Roman" w:cs="Times New Roman"/>
        </w:rPr>
      </w:pPr>
    </w:p>
    <w:p w14:paraId="77D26912" w14:textId="77777777" w:rsidR="008C0A79" w:rsidRDefault="008C0A79">
      <w:pPr>
        <w:spacing w:before="14" w:line="195" w:lineRule="auto"/>
        <w:rPr>
          <w:rFonts w:ascii="Times New Roman" w:eastAsia="Times New Roman" w:hAnsi="Times New Roman" w:cs="Times New Roman"/>
        </w:rPr>
      </w:pPr>
    </w:p>
    <w:p w14:paraId="5E15E288" w14:textId="77777777" w:rsidR="008C0A79" w:rsidRDefault="00000000">
      <w:pPr>
        <w:spacing w:before="14" w:line="195" w:lineRule="auto"/>
        <w:ind w:left="1440"/>
        <w:rPr>
          <w:rFonts w:ascii="Times New Roman" w:eastAsia="Times New Roman" w:hAnsi="Times New Roman" w:cs="Times New Roman"/>
          <w:b/>
          <w:bCs/>
        </w:rPr>
      </w:pPr>
      <w:r>
        <w:br w:type="page"/>
      </w:r>
    </w:p>
    <w:p w14:paraId="08A05327" w14:textId="77777777" w:rsidR="008C0A79" w:rsidRDefault="00000000">
      <w:pPr>
        <w:tabs>
          <w:tab w:val="center" w:pos="4513"/>
          <w:tab w:val="left" w:pos="6984"/>
        </w:tabs>
        <w:spacing w:after="160" w:line="259" w:lineRule="auto"/>
        <w:jc w:val="both"/>
        <w:rPr>
          <w:rFonts w:ascii="Times New Roman" w:eastAsia="Times New Roman" w:hAnsi="Times New Roman" w:cs="Times New Roman"/>
        </w:rPr>
      </w:pPr>
      <w:r>
        <w:rPr>
          <w:rFonts w:ascii="Times New Roman" w:eastAsia="Times New Roman" w:hAnsi="Times New Roman" w:cs="Times New Roman"/>
        </w:rPr>
        <w:lastRenderedPageBreak/>
        <w:t>REFERENCES</w:t>
      </w:r>
    </w:p>
    <w:p w14:paraId="09A2A72F" w14:textId="77777777" w:rsidR="008C0A79" w:rsidRDefault="00000000">
      <w:pPr>
        <w:numPr>
          <w:ilvl w:val="0"/>
          <w:numId w:val="2"/>
        </w:numPr>
        <w:tabs>
          <w:tab w:val="center" w:pos="4513"/>
          <w:tab w:val="left" w:pos="6984"/>
        </w:tabs>
        <w:spacing w:after="200" w:line="259" w:lineRule="auto"/>
        <w:jc w:val="both"/>
        <w:rPr>
          <w:color w:val="222222"/>
          <w:sz w:val="20"/>
          <w:szCs w:val="20"/>
          <w:highlight w:val="white"/>
        </w:rPr>
      </w:pPr>
      <w:proofErr w:type="spellStart"/>
      <w:r>
        <w:rPr>
          <w:color w:val="222222"/>
          <w:sz w:val="20"/>
          <w:szCs w:val="20"/>
          <w:highlight w:val="white"/>
        </w:rPr>
        <w:t>Mohtasham</w:t>
      </w:r>
      <w:proofErr w:type="spellEnd"/>
      <w:r>
        <w:rPr>
          <w:color w:val="222222"/>
          <w:sz w:val="20"/>
          <w:szCs w:val="20"/>
          <w:highlight w:val="white"/>
        </w:rPr>
        <w:t xml:space="preserve"> Khani, M., </w:t>
      </w:r>
      <w:proofErr w:type="spellStart"/>
      <w:r>
        <w:rPr>
          <w:color w:val="222222"/>
          <w:sz w:val="20"/>
          <w:szCs w:val="20"/>
          <w:highlight w:val="white"/>
        </w:rPr>
        <w:t>Vahidnia</w:t>
      </w:r>
      <w:proofErr w:type="spellEnd"/>
      <w:r>
        <w:rPr>
          <w:color w:val="222222"/>
          <w:sz w:val="20"/>
          <w:szCs w:val="20"/>
          <w:highlight w:val="white"/>
        </w:rPr>
        <w:t xml:space="preserve">, S., &amp; Abbasi, A. (2021). A deep learning-based method for forecasting gold price with respect to pandemics. </w:t>
      </w:r>
      <w:r>
        <w:rPr>
          <w:i/>
          <w:iCs/>
          <w:color w:val="222222"/>
          <w:sz w:val="20"/>
          <w:szCs w:val="20"/>
          <w:highlight w:val="white"/>
        </w:rPr>
        <w:t>SN Computer Science</w:t>
      </w:r>
      <w:r>
        <w:rPr>
          <w:color w:val="222222"/>
          <w:sz w:val="20"/>
          <w:szCs w:val="20"/>
          <w:highlight w:val="white"/>
        </w:rPr>
        <w:t xml:space="preserve">, </w:t>
      </w:r>
      <w:r>
        <w:rPr>
          <w:i/>
          <w:iCs/>
          <w:color w:val="222222"/>
          <w:sz w:val="20"/>
          <w:szCs w:val="20"/>
          <w:highlight w:val="white"/>
        </w:rPr>
        <w:t>2</w:t>
      </w:r>
      <w:r>
        <w:rPr>
          <w:color w:val="222222"/>
          <w:sz w:val="20"/>
          <w:szCs w:val="20"/>
          <w:highlight w:val="white"/>
        </w:rPr>
        <w:t>(4), 335.</w:t>
      </w:r>
    </w:p>
    <w:p w14:paraId="3FF46967" w14:textId="77777777" w:rsidR="008C0A79" w:rsidRDefault="00000000">
      <w:pPr>
        <w:numPr>
          <w:ilvl w:val="0"/>
          <w:numId w:val="2"/>
        </w:numPr>
        <w:tabs>
          <w:tab w:val="center" w:pos="4513"/>
          <w:tab w:val="left" w:pos="6984"/>
        </w:tabs>
        <w:spacing w:after="200" w:line="259" w:lineRule="auto"/>
        <w:jc w:val="both"/>
        <w:rPr>
          <w:color w:val="222222"/>
          <w:sz w:val="20"/>
          <w:szCs w:val="20"/>
          <w:highlight w:val="white"/>
        </w:rPr>
      </w:pPr>
      <w:r>
        <w:rPr>
          <w:color w:val="222222"/>
          <w:sz w:val="20"/>
          <w:szCs w:val="20"/>
          <w:highlight w:val="white"/>
        </w:rPr>
        <w:t xml:space="preserve">Kumar, R., </w:t>
      </w:r>
      <w:proofErr w:type="spellStart"/>
      <w:r>
        <w:rPr>
          <w:color w:val="222222"/>
          <w:sz w:val="20"/>
          <w:szCs w:val="20"/>
          <w:highlight w:val="white"/>
        </w:rPr>
        <w:t>Moolchandani</w:t>
      </w:r>
      <w:proofErr w:type="spellEnd"/>
      <w:r>
        <w:rPr>
          <w:color w:val="222222"/>
          <w:sz w:val="20"/>
          <w:szCs w:val="20"/>
          <w:highlight w:val="white"/>
        </w:rPr>
        <w:t xml:space="preserve">, J., Shukla, A., Sahu, S., Thada, V., &amp; Chole, V. (2024, December). Machine Learning-Based Prediction of Gold Prices Using Economic Indicators. In </w:t>
      </w:r>
      <w:r>
        <w:rPr>
          <w:i/>
          <w:iCs/>
          <w:color w:val="222222"/>
          <w:sz w:val="20"/>
          <w:szCs w:val="20"/>
          <w:highlight w:val="white"/>
        </w:rPr>
        <w:t xml:space="preserve">2024 13th International Conference on System </w:t>
      </w:r>
      <w:proofErr w:type="spellStart"/>
      <w:r>
        <w:rPr>
          <w:i/>
          <w:iCs/>
          <w:color w:val="222222"/>
          <w:sz w:val="20"/>
          <w:szCs w:val="20"/>
          <w:highlight w:val="white"/>
        </w:rPr>
        <w:t>Modeling</w:t>
      </w:r>
      <w:proofErr w:type="spellEnd"/>
      <w:r>
        <w:rPr>
          <w:i/>
          <w:iCs/>
          <w:color w:val="222222"/>
          <w:sz w:val="20"/>
          <w:szCs w:val="20"/>
          <w:highlight w:val="white"/>
        </w:rPr>
        <w:t xml:space="preserve"> &amp; Advancement in Research Trends (SMART)</w:t>
      </w:r>
      <w:r>
        <w:rPr>
          <w:color w:val="222222"/>
          <w:sz w:val="20"/>
          <w:szCs w:val="20"/>
          <w:highlight w:val="white"/>
        </w:rPr>
        <w:t xml:space="preserve"> (pp. 520-524). IEEE.</w:t>
      </w:r>
    </w:p>
    <w:p w14:paraId="1E7C5828" w14:textId="77777777" w:rsidR="008C0A79" w:rsidRDefault="00000000">
      <w:pPr>
        <w:numPr>
          <w:ilvl w:val="0"/>
          <w:numId w:val="2"/>
        </w:numPr>
        <w:tabs>
          <w:tab w:val="center" w:pos="4513"/>
          <w:tab w:val="left" w:pos="6984"/>
        </w:tabs>
        <w:spacing w:before="240" w:after="200" w:line="259" w:lineRule="auto"/>
        <w:jc w:val="both"/>
        <w:rPr>
          <w:color w:val="222222"/>
          <w:sz w:val="20"/>
          <w:szCs w:val="20"/>
          <w:highlight w:val="white"/>
        </w:rPr>
      </w:pPr>
      <w:r>
        <w:rPr>
          <w:color w:val="222222"/>
          <w:sz w:val="20"/>
          <w:szCs w:val="20"/>
          <w:highlight w:val="white"/>
        </w:rPr>
        <w:t xml:space="preserve">Tejasvi, B., Paswan, A. S., Mahajan, J., Singh, V. P., &amp; Saxena, A. (2024, March). Advancing Gold Market Predictions: Integrating Machine Learning and Economic Indicators in the Gold Nexus Predictor (GNP). In </w:t>
      </w:r>
      <w:r>
        <w:rPr>
          <w:i/>
          <w:iCs/>
          <w:color w:val="222222"/>
          <w:sz w:val="20"/>
          <w:szCs w:val="20"/>
          <w:highlight w:val="white"/>
        </w:rPr>
        <w:t>2024 International Conference on Trends in Quantum Computing and Emerging Business Technologies</w:t>
      </w:r>
      <w:r>
        <w:rPr>
          <w:color w:val="222222"/>
          <w:sz w:val="20"/>
          <w:szCs w:val="20"/>
          <w:highlight w:val="white"/>
        </w:rPr>
        <w:t xml:space="preserve"> (pp. 1-4). IEEE.</w:t>
      </w:r>
    </w:p>
    <w:p w14:paraId="234EB1CD" w14:textId="77777777" w:rsidR="008C0A79" w:rsidRDefault="00000000">
      <w:pPr>
        <w:numPr>
          <w:ilvl w:val="0"/>
          <w:numId w:val="2"/>
        </w:numPr>
        <w:tabs>
          <w:tab w:val="center" w:pos="4513"/>
          <w:tab w:val="left" w:pos="6984"/>
        </w:tabs>
        <w:spacing w:after="200" w:line="259" w:lineRule="auto"/>
        <w:jc w:val="both"/>
        <w:rPr>
          <w:color w:val="222222"/>
          <w:sz w:val="20"/>
          <w:szCs w:val="20"/>
          <w:highlight w:val="white"/>
        </w:rPr>
      </w:pPr>
      <w:r>
        <w:rPr>
          <w:color w:val="222222"/>
          <w:sz w:val="20"/>
          <w:szCs w:val="20"/>
          <w:highlight w:val="white"/>
        </w:rPr>
        <w:t xml:space="preserve">Das, S., Nayak, J., Kamesh Rao, B., Vakula, K., &amp; Ranjan Routray, A. (2021). Gold price forecasting using machine learning techniques: Review of a decade. </w:t>
      </w:r>
      <w:r>
        <w:rPr>
          <w:i/>
          <w:iCs/>
          <w:color w:val="222222"/>
          <w:sz w:val="20"/>
          <w:szCs w:val="20"/>
          <w:highlight w:val="white"/>
        </w:rPr>
        <w:t>Computational Intelligence in Pattern Recognition: Proceedings of CIPR 2021</w:t>
      </w:r>
      <w:r>
        <w:rPr>
          <w:color w:val="222222"/>
          <w:sz w:val="20"/>
          <w:szCs w:val="20"/>
          <w:highlight w:val="white"/>
        </w:rPr>
        <w:t>, 679-695.</w:t>
      </w:r>
    </w:p>
    <w:p w14:paraId="1D07D2F3" w14:textId="77777777" w:rsidR="008C0A79" w:rsidRDefault="00000000">
      <w:pPr>
        <w:numPr>
          <w:ilvl w:val="0"/>
          <w:numId w:val="2"/>
        </w:numPr>
        <w:tabs>
          <w:tab w:val="center" w:pos="4513"/>
          <w:tab w:val="left" w:pos="6984"/>
        </w:tabs>
        <w:spacing w:after="200" w:line="259" w:lineRule="auto"/>
        <w:jc w:val="both"/>
        <w:rPr>
          <w:color w:val="222222"/>
          <w:sz w:val="20"/>
          <w:szCs w:val="20"/>
          <w:highlight w:val="white"/>
        </w:rPr>
      </w:pPr>
      <w:proofErr w:type="spellStart"/>
      <w:r>
        <w:rPr>
          <w:sz w:val="20"/>
          <w:szCs w:val="20"/>
          <w:highlight w:val="white"/>
        </w:rPr>
        <w:t>Gadage</w:t>
      </w:r>
      <w:proofErr w:type="spellEnd"/>
      <w:r>
        <w:rPr>
          <w:sz w:val="20"/>
          <w:szCs w:val="20"/>
          <w:highlight w:val="white"/>
        </w:rPr>
        <w:t xml:space="preserve">, N. G., &amp; </w:t>
      </w:r>
      <w:proofErr w:type="spellStart"/>
      <w:r>
        <w:rPr>
          <w:sz w:val="20"/>
          <w:szCs w:val="20"/>
          <w:highlight w:val="white"/>
        </w:rPr>
        <w:t>Baporikar</w:t>
      </w:r>
      <w:proofErr w:type="spellEnd"/>
      <w:r>
        <w:rPr>
          <w:sz w:val="20"/>
          <w:szCs w:val="20"/>
          <w:highlight w:val="white"/>
        </w:rPr>
        <w:t xml:space="preserve">, I. U. A Survey on Different Methods of Machine Learning </w:t>
      </w:r>
      <w:proofErr w:type="gramStart"/>
      <w:r>
        <w:rPr>
          <w:sz w:val="20"/>
          <w:szCs w:val="20"/>
          <w:highlight w:val="white"/>
        </w:rPr>
        <w:t>Models  used</w:t>
      </w:r>
      <w:proofErr w:type="gramEnd"/>
      <w:r>
        <w:rPr>
          <w:sz w:val="20"/>
          <w:szCs w:val="20"/>
          <w:highlight w:val="white"/>
        </w:rPr>
        <w:t xml:space="preserve"> to Predict the Price of Gold. </w:t>
      </w:r>
      <w:r>
        <w:rPr>
          <w:i/>
          <w:iCs/>
          <w:sz w:val="20"/>
          <w:szCs w:val="20"/>
          <w:highlight w:val="white"/>
        </w:rPr>
        <w:t>JOURNAL OF TECHNICAL EDUCATION</w:t>
      </w:r>
      <w:r>
        <w:rPr>
          <w:sz w:val="20"/>
          <w:szCs w:val="20"/>
          <w:highlight w:val="white"/>
        </w:rPr>
        <w:t>, 314.</w:t>
      </w:r>
    </w:p>
    <w:p w14:paraId="50348713" w14:textId="77777777" w:rsidR="008C0A79" w:rsidRDefault="00000000">
      <w:pPr>
        <w:numPr>
          <w:ilvl w:val="0"/>
          <w:numId w:val="2"/>
        </w:numPr>
        <w:tabs>
          <w:tab w:val="center" w:pos="4513"/>
          <w:tab w:val="left" w:pos="6984"/>
        </w:tabs>
        <w:spacing w:after="200" w:line="259" w:lineRule="auto"/>
        <w:jc w:val="both"/>
        <w:rPr>
          <w:color w:val="222222"/>
          <w:sz w:val="20"/>
          <w:szCs w:val="20"/>
          <w:highlight w:val="white"/>
        </w:rPr>
      </w:pPr>
      <w:r>
        <w:rPr>
          <w:color w:val="222222"/>
          <w:sz w:val="20"/>
          <w:szCs w:val="20"/>
          <w:highlight w:val="white"/>
        </w:rPr>
        <w:t xml:space="preserve">Jahnavi, M., Bung, P., </w:t>
      </w:r>
      <w:proofErr w:type="spellStart"/>
      <w:r>
        <w:rPr>
          <w:color w:val="222222"/>
          <w:sz w:val="20"/>
          <w:szCs w:val="20"/>
          <w:highlight w:val="white"/>
        </w:rPr>
        <w:t>Nagasubba</w:t>
      </w:r>
      <w:proofErr w:type="spellEnd"/>
      <w:r>
        <w:rPr>
          <w:color w:val="222222"/>
          <w:sz w:val="20"/>
          <w:szCs w:val="20"/>
          <w:highlight w:val="white"/>
        </w:rPr>
        <w:t xml:space="preserve"> Reddy, N., &amp; Santosh, K. (2025). Comparing Econometric and </w:t>
      </w:r>
      <w:r>
        <w:rPr>
          <w:color w:val="222222"/>
          <w:sz w:val="20"/>
          <w:szCs w:val="20"/>
          <w:highlight w:val="white"/>
        </w:rPr>
        <w:tab/>
        <w:t xml:space="preserve">Machine Learning Models for Gold Price Forecasting: A Comprehensive Approach. In </w:t>
      </w:r>
      <w:r>
        <w:rPr>
          <w:i/>
          <w:iCs/>
          <w:color w:val="222222"/>
          <w:sz w:val="20"/>
          <w:szCs w:val="20"/>
          <w:highlight w:val="white"/>
        </w:rPr>
        <w:t>Sustainable Data Management: Navigating Big Data, Communication Technology, and Business Digital Leadership. Volume 2</w:t>
      </w:r>
      <w:r>
        <w:rPr>
          <w:color w:val="222222"/>
          <w:sz w:val="20"/>
          <w:szCs w:val="20"/>
          <w:highlight w:val="white"/>
        </w:rPr>
        <w:t xml:space="preserve"> (pp. 277-291). Cham: Springer Nature Switzerland.</w:t>
      </w:r>
    </w:p>
    <w:p w14:paraId="0A2EB2BB" w14:textId="77777777" w:rsidR="008C0A79" w:rsidRDefault="00000000">
      <w:pPr>
        <w:numPr>
          <w:ilvl w:val="0"/>
          <w:numId w:val="2"/>
        </w:numPr>
        <w:tabs>
          <w:tab w:val="center" w:pos="4513"/>
          <w:tab w:val="left" w:pos="6984"/>
        </w:tabs>
        <w:spacing w:after="200" w:line="259" w:lineRule="auto"/>
        <w:jc w:val="both"/>
        <w:rPr>
          <w:color w:val="222222"/>
          <w:sz w:val="20"/>
          <w:szCs w:val="20"/>
          <w:highlight w:val="white"/>
        </w:rPr>
      </w:pPr>
      <w:r>
        <w:rPr>
          <w:color w:val="222222"/>
          <w:sz w:val="20"/>
          <w:szCs w:val="20"/>
          <w:highlight w:val="white"/>
        </w:rPr>
        <w:t xml:space="preserve">Ahmad, M., Khan, S., Ahmad, R. W., &amp; Rehman, A. A. (2025). COMPARATIVE ANALYSIS OF STATISTICAL AND MACHINE LEARNING MODELS FOR GOLD PRICE PREDICTION. </w:t>
      </w:r>
      <w:r>
        <w:rPr>
          <w:i/>
          <w:iCs/>
          <w:color w:val="222222"/>
          <w:sz w:val="20"/>
          <w:szCs w:val="20"/>
          <w:highlight w:val="white"/>
        </w:rPr>
        <w:t xml:space="preserve">Journal of </w:t>
      </w:r>
      <w:r>
        <w:rPr>
          <w:rFonts w:ascii="Times New Roman" w:eastAsia="Times New Roman" w:hAnsi="Times New Roman" w:cs="Times New Roman"/>
        </w:rPr>
        <w:t>2031963</w:t>
      </w:r>
      <w:r>
        <w:rPr>
          <w:i/>
          <w:iCs/>
          <w:color w:val="222222"/>
          <w:sz w:val="20"/>
          <w:szCs w:val="20"/>
          <w:highlight w:val="white"/>
        </w:rPr>
        <w:t>Media Horizons</w:t>
      </w:r>
      <w:r>
        <w:rPr>
          <w:color w:val="222222"/>
          <w:sz w:val="20"/>
          <w:szCs w:val="20"/>
          <w:highlight w:val="white"/>
        </w:rPr>
        <w:t xml:space="preserve">, </w:t>
      </w:r>
      <w:r>
        <w:rPr>
          <w:i/>
          <w:iCs/>
          <w:color w:val="222222"/>
          <w:sz w:val="20"/>
          <w:szCs w:val="20"/>
          <w:highlight w:val="white"/>
        </w:rPr>
        <w:t>6</w:t>
      </w:r>
      <w:r>
        <w:rPr>
          <w:color w:val="222222"/>
          <w:sz w:val="20"/>
          <w:szCs w:val="20"/>
          <w:highlight w:val="white"/>
        </w:rPr>
        <w:t>(4), 50-65.</w:t>
      </w:r>
    </w:p>
    <w:p w14:paraId="3C8B66B5" w14:textId="77777777" w:rsidR="008C0A79" w:rsidRDefault="00000000">
      <w:pPr>
        <w:numPr>
          <w:ilvl w:val="0"/>
          <w:numId w:val="2"/>
        </w:numPr>
        <w:tabs>
          <w:tab w:val="center" w:pos="4513"/>
          <w:tab w:val="left" w:pos="6984"/>
        </w:tabs>
        <w:spacing w:after="200" w:line="259" w:lineRule="auto"/>
        <w:jc w:val="both"/>
        <w:rPr>
          <w:color w:val="222222"/>
          <w:sz w:val="20"/>
          <w:szCs w:val="20"/>
          <w:highlight w:val="white"/>
        </w:rPr>
      </w:pPr>
      <w:proofErr w:type="spellStart"/>
      <w:r>
        <w:rPr>
          <w:color w:val="222222"/>
          <w:sz w:val="20"/>
          <w:szCs w:val="20"/>
          <w:highlight w:val="white"/>
        </w:rPr>
        <w:t>Plakandaras</w:t>
      </w:r>
      <w:proofErr w:type="spellEnd"/>
      <w:r>
        <w:rPr>
          <w:color w:val="222222"/>
          <w:sz w:val="20"/>
          <w:szCs w:val="20"/>
          <w:highlight w:val="white"/>
        </w:rPr>
        <w:t xml:space="preserve">, V., Gogas, P., &amp; Papadimitriou, T. (2021). Gold against the machine. </w:t>
      </w:r>
      <w:r>
        <w:rPr>
          <w:i/>
          <w:iCs/>
          <w:color w:val="222222"/>
          <w:sz w:val="20"/>
          <w:szCs w:val="20"/>
          <w:highlight w:val="white"/>
        </w:rPr>
        <w:t>Computational Economics</w:t>
      </w:r>
      <w:r>
        <w:rPr>
          <w:color w:val="222222"/>
          <w:sz w:val="20"/>
          <w:szCs w:val="20"/>
          <w:highlight w:val="white"/>
        </w:rPr>
        <w:t xml:space="preserve">, </w:t>
      </w:r>
      <w:r>
        <w:rPr>
          <w:i/>
          <w:iCs/>
          <w:color w:val="222222"/>
          <w:sz w:val="20"/>
          <w:szCs w:val="20"/>
          <w:highlight w:val="white"/>
        </w:rPr>
        <w:t>57</w:t>
      </w:r>
      <w:r>
        <w:rPr>
          <w:color w:val="222222"/>
          <w:sz w:val="20"/>
          <w:szCs w:val="20"/>
          <w:highlight w:val="white"/>
        </w:rPr>
        <w:t>(1), 5-28.</w:t>
      </w:r>
    </w:p>
    <w:p w14:paraId="4AEFFF20" w14:textId="77777777" w:rsidR="008C0A79" w:rsidRDefault="00000000">
      <w:pPr>
        <w:numPr>
          <w:ilvl w:val="0"/>
          <w:numId w:val="2"/>
        </w:numPr>
        <w:tabs>
          <w:tab w:val="center" w:pos="4513"/>
          <w:tab w:val="left" w:pos="6984"/>
        </w:tabs>
        <w:spacing w:after="200" w:line="259" w:lineRule="auto"/>
        <w:jc w:val="both"/>
        <w:rPr>
          <w:color w:val="222222"/>
          <w:sz w:val="20"/>
          <w:szCs w:val="20"/>
          <w:highlight w:val="white"/>
        </w:rPr>
      </w:pPr>
      <w:r>
        <w:rPr>
          <w:color w:val="222222"/>
          <w:sz w:val="20"/>
          <w:szCs w:val="20"/>
          <w:highlight w:val="white"/>
        </w:rPr>
        <w:t xml:space="preserve">Madziwa, L., </w:t>
      </w:r>
      <w:proofErr w:type="spellStart"/>
      <w:r>
        <w:rPr>
          <w:color w:val="222222"/>
          <w:sz w:val="20"/>
          <w:szCs w:val="20"/>
          <w:highlight w:val="white"/>
        </w:rPr>
        <w:t>Pillalamarry</w:t>
      </w:r>
      <w:proofErr w:type="spellEnd"/>
      <w:r>
        <w:rPr>
          <w:color w:val="222222"/>
          <w:sz w:val="20"/>
          <w:szCs w:val="20"/>
          <w:highlight w:val="white"/>
        </w:rPr>
        <w:t xml:space="preserve">, M., &amp; Chatterjee, S. (2022). Gold price forecasting using multivariate stochastic model. </w:t>
      </w:r>
      <w:r>
        <w:rPr>
          <w:i/>
          <w:iCs/>
          <w:color w:val="222222"/>
          <w:sz w:val="20"/>
          <w:szCs w:val="20"/>
          <w:highlight w:val="white"/>
        </w:rPr>
        <w:t>Resources Policy</w:t>
      </w:r>
      <w:r>
        <w:rPr>
          <w:color w:val="222222"/>
          <w:sz w:val="20"/>
          <w:szCs w:val="20"/>
          <w:highlight w:val="white"/>
        </w:rPr>
        <w:t xml:space="preserve">, </w:t>
      </w:r>
      <w:r>
        <w:rPr>
          <w:i/>
          <w:iCs/>
          <w:color w:val="222222"/>
          <w:sz w:val="20"/>
          <w:szCs w:val="20"/>
          <w:highlight w:val="white"/>
        </w:rPr>
        <w:t>76</w:t>
      </w:r>
      <w:r>
        <w:rPr>
          <w:color w:val="222222"/>
          <w:sz w:val="20"/>
          <w:szCs w:val="20"/>
          <w:highlight w:val="white"/>
        </w:rPr>
        <w:t>, 102544.</w:t>
      </w:r>
    </w:p>
    <w:p w14:paraId="741B5280" w14:textId="77777777" w:rsidR="008C0A79" w:rsidRDefault="00000000">
      <w:pPr>
        <w:numPr>
          <w:ilvl w:val="0"/>
          <w:numId w:val="2"/>
        </w:numPr>
        <w:tabs>
          <w:tab w:val="center" w:pos="4513"/>
          <w:tab w:val="left" w:pos="6984"/>
        </w:tabs>
        <w:spacing w:after="200" w:line="259" w:lineRule="auto"/>
        <w:jc w:val="both"/>
        <w:rPr>
          <w:color w:val="222222"/>
          <w:sz w:val="20"/>
          <w:szCs w:val="20"/>
          <w:highlight w:val="white"/>
        </w:rPr>
      </w:pPr>
      <w:r>
        <w:rPr>
          <w:color w:val="222222"/>
          <w:sz w:val="20"/>
          <w:szCs w:val="20"/>
          <w:highlight w:val="white"/>
        </w:rPr>
        <w:t xml:space="preserve">Makala, D., &amp; Li, Z. (2021, February). Prediction of gold price with ARIMA and SVM. In </w:t>
      </w:r>
      <w:r>
        <w:rPr>
          <w:i/>
          <w:iCs/>
          <w:color w:val="222222"/>
          <w:sz w:val="20"/>
          <w:szCs w:val="20"/>
          <w:highlight w:val="white"/>
        </w:rPr>
        <w:t>Journal of Physics: Conference Series</w:t>
      </w:r>
      <w:r>
        <w:rPr>
          <w:color w:val="222222"/>
          <w:sz w:val="20"/>
          <w:szCs w:val="20"/>
          <w:highlight w:val="white"/>
        </w:rPr>
        <w:t xml:space="preserve"> (Vol. 1767, No. 1, p. 012022). IOP Publishing.</w:t>
      </w:r>
    </w:p>
    <w:p w14:paraId="5738FD92" w14:textId="77777777" w:rsidR="008C0A79" w:rsidRDefault="00000000">
      <w:pPr>
        <w:numPr>
          <w:ilvl w:val="0"/>
          <w:numId w:val="2"/>
        </w:numPr>
        <w:tabs>
          <w:tab w:val="center" w:pos="4513"/>
          <w:tab w:val="left" w:pos="6984"/>
        </w:tabs>
        <w:spacing w:after="200" w:line="259" w:lineRule="auto"/>
        <w:jc w:val="both"/>
        <w:rPr>
          <w:color w:val="222222"/>
          <w:sz w:val="20"/>
          <w:szCs w:val="20"/>
          <w:highlight w:val="white"/>
        </w:rPr>
      </w:pPr>
      <w:r>
        <w:rPr>
          <w:sz w:val="20"/>
          <w:szCs w:val="20"/>
          <w:highlight w:val="white"/>
        </w:rPr>
        <w:t xml:space="preserve">Aruna, S., </w:t>
      </w:r>
      <w:proofErr w:type="spellStart"/>
      <w:r>
        <w:rPr>
          <w:sz w:val="20"/>
          <w:szCs w:val="20"/>
          <w:highlight w:val="white"/>
        </w:rPr>
        <w:t>Umamaheswari</w:t>
      </w:r>
      <w:proofErr w:type="spellEnd"/>
      <w:r>
        <w:rPr>
          <w:sz w:val="20"/>
          <w:szCs w:val="20"/>
          <w:highlight w:val="white"/>
        </w:rPr>
        <w:t xml:space="preserve">, P., </w:t>
      </w:r>
      <w:proofErr w:type="spellStart"/>
      <w:r>
        <w:rPr>
          <w:sz w:val="20"/>
          <w:szCs w:val="20"/>
          <w:highlight w:val="white"/>
        </w:rPr>
        <w:t>Sujipriya</w:t>
      </w:r>
      <w:proofErr w:type="spellEnd"/>
      <w:r>
        <w:rPr>
          <w:sz w:val="20"/>
          <w:szCs w:val="20"/>
          <w:highlight w:val="white"/>
        </w:rPr>
        <w:t xml:space="preserve">, J., &amp; </w:t>
      </w:r>
      <w:proofErr w:type="spellStart"/>
      <w:r>
        <w:rPr>
          <w:sz w:val="20"/>
          <w:szCs w:val="20"/>
          <w:highlight w:val="white"/>
        </w:rPr>
        <w:t>Umamaheswari</w:t>
      </w:r>
      <w:proofErr w:type="spellEnd"/>
      <w:r>
        <w:rPr>
          <w:sz w:val="20"/>
          <w:szCs w:val="20"/>
          <w:highlight w:val="white"/>
        </w:rPr>
        <w:t xml:space="preserve">, R. (2021). Prediction of potential gold prices using machine learning approach. </w:t>
      </w:r>
      <w:r>
        <w:rPr>
          <w:i/>
          <w:iCs/>
          <w:sz w:val="20"/>
          <w:szCs w:val="20"/>
          <w:highlight w:val="white"/>
        </w:rPr>
        <w:t>Annals of the Romanian Society for Cell Biology</w:t>
      </w:r>
      <w:r>
        <w:rPr>
          <w:sz w:val="20"/>
          <w:szCs w:val="20"/>
          <w:highlight w:val="white"/>
        </w:rPr>
        <w:t xml:space="preserve">, </w:t>
      </w:r>
      <w:r>
        <w:rPr>
          <w:i/>
          <w:iCs/>
          <w:sz w:val="20"/>
          <w:szCs w:val="20"/>
          <w:highlight w:val="white"/>
        </w:rPr>
        <w:t>25</w:t>
      </w:r>
      <w:r>
        <w:rPr>
          <w:sz w:val="20"/>
          <w:szCs w:val="20"/>
          <w:highlight w:val="white"/>
        </w:rPr>
        <w:t>(4), 1385-1396.</w:t>
      </w:r>
    </w:p>
    <w:p w14:paraId="4064BAA8" w14:textId="77777777" w:rsidR="008C0A79" w:rsidRDefault="00000000">
      <w:pPr>
        <w:numPr>
          <w:ilvl w:val="0"/>
          <w:numId w:val="2"/>
        </w:numPr>
        <w:tabs>
          <w:tab w:val="center" w:pos="4513"/>
          <w:tab w:val="left" w:pos="6984"/>
        </w:tabs>
        <w:spacing w:after="200" w:line="259" w:lineRule="auto"/>
        <w:jc w:val="both"/>
        <w:rPr>
          <w:sz w:val="20"/>
          <w:szCs w:val="20"/>
          <w:highlight w:val="white"/>
        </w:rPr>
      </w:pPr>
      <w:r>
        <w:rPr>
          <w:sz w:val="20"/>
          <w:szCs w:val="20"/>
          <w:highlight w:val="white"/>
        </w:rPr>
        <w:t xml:space="preserve">Cohen, G., &amp; </w:t>
      </w:r>
      <w:proofErr w:type="spellStart"/>
      <w:r>
        <w:rPr>
          <w:sz w:val="20"/>
          <w:szCs w:val="20"/>
          <w:highlight w:val="white"/>
        </w:rPr>
        <w:t>Aiche</w:t>
      </w:r>
      <w:proofErr w:type="spellEnd"/>
      <w:r>
        <w:rPr>
          <w:sz w:val="20"/>
          <w:szCs w:val="20"/>
          <w:highlight w:val="white"/>
        </w:rPr>
        <w:t xml:space="preserve">, A. (2023). Forecasting gold price using machine learning methodologies. </w:t>
      </w:r>
      <w:r>
        <w:rPr>
          <w:i/>
          <w:iCs/>
          <w:sz w:val="20"/>
          <w:szCs w:val="20"/>
          <w:highlight w:val="white"/>
        </w:rPr>
        <w:t>Chaos, Solitons &amp; Fractals</w:t>
      </w:r>
      <w:r>
        <w:rPr>
          <w:sz w:val="20"/>
          <w:szCs w:val="20"/>
          <w:highlight w:val="white"/>
        </w:rPr>
        <w:t xml:space="preserve">, </w:t>
      </w:r>
      <w:r>
        <w:rPr>
          <w:i/>
          <w:iCs/>
          <w:sz w:val="20"/>
          <w:szCs w:val="20"/>
          <w:highlight w:val="white"/>
        </w:rPr>
        <w:t>175</w:t>
      </w:r>
      <w:r>
        <w:rPr>
          <w:sz w:val="20"/>
          <w:szCs w:val="20"/>
          <w:highlight w:val="white"/>
        </w:rPr>
        <w:t>, 114079.</w:t>
      </w:r>
    </w:p>
    <w:p w14:paraId="73599918" w14:textId="77777777" w:rsidR="008C0A79" w:rsidRDefault="00000000">
      <w:pPr>
        <w:numPr>
          <w:ilvl w:val="0"/>
          <w:numId w:val="2"/>
        </w:numPr>
        <w:tabs>
          <w:tab w:val="center" w:pos="4513"/>
          <w:tab w:val="left" w:pos="6984"/>
        </w:tabs>
        <w:spacing w:after="200" w:line="259" w:lineRule="auto"/>
        <w:jc w:val="both"/>
        <w:rPr>
          <w:color w:val="222222"/>
          <w:sz w:val="20"/>
          <w:szCs w:val="20"/>
          <w:highlight w:val="white"/>
        </w:rPr>
      </w:pPr>
      <w:proofErr w:type="spellStart"/>
      <w:r>
        <w:rPr>
          <w:color w:val="222222"/>
          <w:sz w:val="20"/>
          <w:szCs w:val="20"/>
          <w:highlight w:val="white"/>
        </w:rPr>
        <w:t>Livieris</w:t>
      </w:r>
      <w:proofErr w:type="spellEnd"/>
      <w:r>
        <w:rPr>
          <w:color w:val="222222"/>
          <w:sz w:val="20"/>
          <w:szCs w:val="20"/>
          <w:highlight w:val="white"/>
        </w:rPr>
        <w:t xml:space="preserve">, I. E., </w:t>
      </w:r>
      <w:proofErr w:type="spellStart"/>
      <w:r>
        <w:rPr>
          <w:color w:val="222222"/>
          <w:sz w:val="20"/>
          <w:szCs w:val="20"/>
          <w:highlight w:val="white"/>
        </w:rPr>
        <w:t>Pintelas</w:t>
      </w:r>
      <w:proofErr w:type="spellEnd"/>
      <w:r>
        <w:rPr>
          <w:color w:val="222222"/>
          <w:sz w:val="20"/>
          <w:szCs w:val="20"/>
          <w:highlight w:val="white"/>
        </w:rPr>
        <w:t xml:space="preserve">, E., &amp; </w:t>
      </w:r>
      <w:proofErr w:type="spellStart"/>
      <w:r>
        <w:rPr>
          <w:color w:val="222222"/>
          <w:sz w:val="20"/>
          <w:szCs w:val="20"/>
          <w:highlight w:val="white"/>
        </w:rPr>
        <w:t>Pintelas</w:t>
      </w:r>
      <w:proofErr w:type="spellEnd"/>
      <w:r>
        <w:rPr>
          <w:color w:val="222222"/>
          <w:sz w:val="20"/>
          <w:szCs w:val="20"/>
          <w:highlight w:val="white"/>
        </w:rPr>
        <w:t xml:space="preserve">, P. (2020). A CNN–LSTM model for gold price time-series forecasting. </w:t>
      </w:r>
      <w:r>
        <w:rPr>
          <w:i/>
          <w:iCs/>
          <w:color w:val="222222"/>
          <w:sz w:val="20"/>
          <w:szCs w:val="20"/>
          <w:highlight w:val="white"/>
        </w:rPr>
        <w:t>Neural computing and applications</w:t>
      </w:r>
      <w:r>
        <w:rPr>
          <w:color w:val="222222"/>
          <w:sz w:val="20"/>
          <w:szCs w:val="20"/>
          <w:highlight w:val="white"/>
        </w:rPr>
        <w:t xml:space="preserve">, </w:t>
      </w:r>
      <w:r>
        <w:rPr>
          <w:i/>
          <w:iCs/>
          <w:color w:val="222222"/>
          <w:sz w:val="20"/>
          <w:szCs w:val="20"/>
          <w:highlight w:val="white"/>
        </w:rPr>
        <w:t>32</w:t>
      </w:r>
      <w:r>
        <w:rPr>
          <w:color w:val="222222"/>
          <w:sz w:val="20"/>
          <w:szCs w:val="20"/>
          <w:highlight w:val="white"/>
        </w:rPr>
        <w:t>(23), 17351-17360.</w:t>
      </w:r>
    </w:p>
    <w:p w14:paraId="4F53144C" w14:textId="77777777" w:rsidR="008C0A79" w:rsidRDefault="00000000">
      <w:pPr>
        <w:numPr>
          <w:ilvl w:val="0"/>
          <w:numId w:val="2"/>
        </w:numPr>
        <w:tabs>
          <w:tab w:val="center" w:pos="4513"/>
          <w:tab w:val="left" w:pos="6984"/>
        </w:tabs>
        <w:spacing w:after="200" w:line="259" w:lineRule="auto"/>
        <w:jc w:val="both"/>
        <w:rPr>
          <w:color w:val="222222"/>
          <w:sz w:val="20"/>
          <w:szCs w:val="20"/>
          <w:highlight w:val="white"/>
        </w:rPr>
      </w:pPr>
      <w:r>
        <w:rPr>
          <w:sz w:val="20"/>
          <w:szCs w:val="20"/>
          <w:highlight w:val="white"/>
        </w:rPr>
        <w:t xml:space="preserve">Jin, B., &amp; Xu, X. (2025). Machine learning gold price forecasting. </w:t>
      </w:r>
      <w:r>
        <w:rPr>
          <w:i/>
          <w:iCs/>
          <w:sz w:val="20"/>
          <w:szCs w:val="20"/>
          <w:highlight w:val="white"/>
        </w:rPr>
        <w:t>International Journal of Management Science and Engineering Management</w:t>
      </w:r>
      <w:r>
        <w:rPr>
          <w:sz w:val="20"/>
          <w:szCs w:val="20"/>
          <w:highlight w:val="white"/>
        </w:rPr>
        <w:t xml:space="preserve">, </w:t>
      </w:r>
      <w:r>
        <w:rPr>
          <w:i/>
          <w:iCs/>
          <w:sz w:val="20"/>
          <w:szCs w:val="20"/>
          <w:highlight w:val="white"/>
        </w:rPr>
        <w:t>20</w:t>
      </w:r>
      <w:r>
        <w:rPr>
          <w:sz w:val="20"/>
          <w:szCs w:val="20"/>
          <w:highlight w:val="white"/>
        </w:rPr>
        <w:t>(2), 273-285.</w:t>
      </w:r>
    </w:p>
    <w:p w14:paraId="413E74B6" w14:textId="77777777" w:rsidR="008C0A79" w:rsidRDefault="00000000">
      <w:pPr>
        <w:numPr>
          <w:ilvl w:val="0"/>
          <w:numId w:val="2"/>
        </w:numPr>
        <w:tabs>
          <w:tab w:val="center" w:pos="4513"/>
          <w:tab w:val="left" w:pos="6984"/>
        </w:tabs>
        <w:spacing w:after="200" w:line="259" w:lineRule="auto"/>
        <w:jc w:val="both"/>
        <w:rPr>
          <w:color w:val="222222"/>
          <w:sz w:val="20"/>
          <w:szCs w:val="20"/>
          <w:highlight w:val="white"/>
        </w:rPr>
      </w:pPr>
      <w:r>
        <w:rPr>
          <w:color w:val="222222"/>
          <w:sz w:val="20"/>
          <w:szCs w:val="20"/>
          <w:highlight w:val="white"/>
        </w:rPr>
        <w:t xml:space="preserve">Kannan, R., Andres, F., Muthu, K. S., &amp; </w:t>
      </w:r>
      <w:proofErr w:type="spellStart"/>
      <w:r>
        <w:rPr>
          <w:color w:val="222222"/>
          <w:sz w:val="20"/>
          <w:szCs w:val="20"/>
          <w:highlight w:val="white"/>
        </w:rPr>
        <w:t>Anutariya</w:t>
      </w:r>
      <w:proofErr w:type="spellEnd"/>
      <w:r>
        <w:rPr>
          <w:color w:val="222222"/>
          <w:sz w:val="20"/>
          <w:szCs w:val="20"/>
          <w:highlight w:val="white"/>
        </w:rPr>
        <w:t xml:space="preserve">, C. (2024, May). Predicting Gold Prices with Rolling Average Representation and Machine Learning. In </w:t>
      </w:r>
      <w:r>
        <w:rPr>
          <w:i/>
          <w:iCs/>
          <w:color w:val="222222"/>
          <w:sz w:val="20"/>
          <w:szCs w:val="20"/>
          <w:highlight w:val="white"/>
        </w:rPr>
        <w:t>2024 1st International Conference on Innovative Engineering Sciences and Technological Research (ICIESTR)</w:t>
      </w:r>
      <w:r>
        <w:rPr>
          <w:color w:val="222222"/>
          <w:sz w:val="20"/>
          <w:szCs w:val="20"/>
          <w:highlight w:val="white"/>
        </w:rPr>
        <w:t xml:space="preserve"> (pp. 1-5). IEEE.</w:t>
      </w:r>
    </w:p>
    <w:p w14:paraId="14104070" w14:textId="77777777" w:rsidR="008C0A79" w:rsidRDefault="008C0A79">
      <w:pPr>
        <w:spacing w:before="14" w:line="195" w:lineRule="auto"/>
        <w:rPr>
          <w:rFonts w:ascii="Times New Roman" w:eastAsia="Times New Roman" w:hAnsi="Times New Roman" w:cs="Times New Roman"/>
          <w:b/>
          <w:bCs/>
        </w:rPr>
      </w:pPr>
    </w:p>
    <w:p>
      <w:r>
        <w:br w:type="page"/>
      </w:r>
    </w:p>
    <w:p>
      <w:pPr>
        <w:jc w:val="center"/>
      </w:pPr>
      <w:r>
        <w:rPr>
          <w:b/>
          <w:sz w:val="32"/>
        </w:rPr>
        <w:t>CHAPTER 4</w:t>
      </w:r>
    </w:p>
    <w:p>
      <w:pPr>
        <w:jc w:val="center"/>
      </w:pPr>
      <w:r>
        <w:rPr>
          <w:b/>
          <w:sz w:val="28"/>
        </w:rPr>
        <w:t>MODEL SELECTION, IMPLEMENTATION AND RESULTS</w:t>
      </w:r>
    </w:p>
    <w:p>
      <w:pPr>
        <w:pStyle w:val="Heading2"/>
      </w:pPr>
      <w:r>
        <w:rPr>
          <w:color w:val="000000"/>
        </w:rPr>
        <w:t>Introduction</w:t>
      </w:r>
    </w:p>
    <w:p>
      <w:pPr>
        <w:jc w:val="both"/>
      </w:pPr>
      <w:r>
        <w:t>In this chapter, we outline the detailed implementation of the machine learning and statistical models discussed in Chapter 3. The process encompasses training the models on the historical gold price data, evaluating their performance, and serving the forecasting system via an interactive web-based dashboard and API.</w:t>
      </w:r>
    </w:p>
    <w:p>
      <w:pPr>
        <w:pStyle w:val="Heading2"/>
      </w:pPr>
      <w:r>
        <w:rPr>
          <w:color w:val="000000"/>
        </w:rPr>
        <w:t>Model Selection and Implementation</w:t>
      </w:r>
    </w:p>
    <w:p>
      <w:pPr>
        <w:jc w:val="both"/>
      </w:pPr>
      <w:r>
        <w:t>As defined by the methodology, distinct model architectures were evaluated for their efficacy in long-term and immediate gold price forecasting:</w:t>
      </w:r>
    </w:p>
    <w:p>
      <w:pPr>
        <w:jc w:val="both"/>
      </w:pPr>
      <w:r>
        <w:t>1. ARIMA / SARIMA: Chosen as the primary statistical method due to its strong capability in forecasting temporal patterns. SARIMA was particularly configured to capture the monthly seasonality and general upward trajectory of long-term gold prices.</w:t>
      </w:r>
    </w:p>
    <w:p>
      <w:pPr>
        <w:jc w:val="both"/>
      </w:pPr>
      <w:r>
        <w:t>2. Linear Regression: A standard regression model to establish a straightforward linear trend relationship of price movements over time.</w:t>
      </w:r>
    </w:p>
    <w:p>
      <w:pPr>
        <w:jc w:val="both"/>
      </w:pPr>
      <w:r>
        <w:t>3. Support Vector Machine (SVM): This advanced machine learning framework was employed to understand and predict immediate, non-linear month-to-month changes based on sliding window past values. Different kernels (Linear, Radial Basis Function, Polynomial) were applied to gauge the most effective representation of localized volatility.</w:t>
      </w:r>
    </w:p>
    <w:p>
      <w:pPr>
        <w:pStyle w:val="Heading2"/>
      </w:pPr>
      <w:r>
        <w:rPr>
          <w:color w:val="000000"/>
        </w:rPr>
        <w:t>Performance Evaluation</w:t>
      </w:r>
    </w:p>
    <w:p>
      <w:pPr>
        <w:jc w:val="both"/>
      </w:pPr>
      <w:r>
        <w:t>To rigorously assess the predictive capabilities of the models, standard statistical metrics including Root Mean Square Error (RMSE), Mean Absolute Error (MAE), and Mean Absolute Percentage Error (MAPE) were utilized. The performance evaluation highlights that while statistical baseline models maintain steady generalizations over multi-year horizons, SVM variants adapt with greater precision to shorter-term fluctuations.</w:t>
      </w:r>
    </w:p>
    <w:p>
      <w:pPr>
        <w:pStyle w:val="Heading2"/>
      </w:pPr>
      <w:r>
        <w:rPr>
          <w:color w:val="000000"/>
        </w:rPr>
        <w:t>Visual Analysis of Forecasts</w:t>
      </w:r>
    </w:p>
    <w:p>
      <w:pPr>
        <w:jc w:val="both"/>
      </w:pPr>
      <w:r>
        <w:t>The following figures illustrate the fundamental nature of the dataset and the subsequent forecasting outputs generated by the models.</w:t>
      </w:r>
    </w:p>
    <w:p>
      <w:pPr>
        <w:jc w:val="center"/>
      </w:pPr>
      <w:r>
        <w:drawing>
          <wp:inline xmlns:a="http://schemas.openxmlformats.org/drawingml/2006/main" xmlns:pic="http://schemas.openxmlformats.org/drawingml/2006/picture">
            <wp:extent cx="5486400" cy="2926080"/>
            <wp:docPr id="7" name="Picture 7"/>
            <wp:cNvGraphicFramePr>
              <a:graphicFrameLocks noChangeAspect="1"/>
            </wp:cNvGraphicFramePr>
            <a:graphic>
              <a:graphicData uri="http://schemas.openxmlformats.org/drawingml/2006/picture">
                <pic:pic>
                  <pic:nvPicPr>
                    <pic:cNvPr id="0" name="gold_price_patterns.png"/>
                    <pic:cNvPicPr/>
                  </pic:nvPicPr>
                  <pic:blipFill>
                    <a:blip r:embed="rId10"/>
                    <a:stretch>
                      <a:fillRect/>
                    </a:stretch>
                  </pic:blipFill>
                  <pic:spPr>
                    <a:xfrm>
                      <a:off x="0" y="0"/>
                      <a:ext cx="5486400" cy="2926080"/>
                    </a:xfrm>
                    <a:prstGeom prst="rect"/>
                  </pic:spPr>
                </pic:pic>
              </a:graphicData>
            </a:graphic>
          </wp:inline>
        </w:drawing>
      </w:r>
    </w:p>
    <w:p>
      <w:pPr>
        <w:jc w:val="center"/>
      </w:pPr>
      <w:r>
        <w:rPr>
          <w:i/>
          <w:sz w:val="20"/>
        </w:rPr>
        <w:t>Fig: Decomposed Historical Gold Price Patterns revealing long-term trend, seasonality, and residual noise structure.</w:t>
      </w:r>
    </w:p>
    <w:p>
      <w:pPr>
        <w:jc w:val="center"/>
      </w:pPr>
      <w:r>
        <w:drawing>
          <wp:inline xmlns:a="http://schemas.openxmlformats.org/drawingml/2006/main" xmlns:pic="http://schemas.openxmlformats.org/drawingml/2006/picture">
            <wp:extent cx="5486400" cy="2560320"/>
            <wp:docPr id="8" name="Picture 8"/>
            <wp:cNvGraphicFramePr>
              <a:graphicFrameLocks noChangeAspect="1"/>
            </wp:cNvGraphicFramePr>
            <a:graphic>
              <a:graphicData uri="http://schemas.openxmlformats.org/drawingml/2006/picture">
                <pic:pic>
                  <pic:nvPicPr>
                    <pic:cNvPr id="0" name="gold_price_forecast_sarima.png"/>
                    <pic:cNvPicPr/>
                  </pic:nvPicPr>
                  <pic:blipFill>
                    <a:blip r:embed="rId11"/>
                    <a:stretch>
                      <a:fillRect/>
                    </a:stretch>
                  </pic:blipFill>
                  <pic:spPr>
                    <a:xfrm>
                      <a:off x="0" y="0"/>
                      <a:ext cx="5486400" cy="2560320"/>
                    </a:xfrm>
                    <a:prstGeom prst="rect"/>
                  </pic:spPr>
                </pic:pic>
              </a:graphicData>
            </a:graphic>
          </wp:inline>
        </w:drawing>
      </w:r>
    </w:p>
    <w:p>
      <w:pPr>
        <w:jc w:val="center"/>
      </w:pPr>
      <w:r>
        <w:rPr>
          <w:i/>
          <w:sz w:val="20"/>
        </w:rPr>
        <w:t>Fig: SARIMA 5-Year Forecast projecting the extended trajectory of Gold prices from 2025 to 2030, showing robust steady growth.</w:t>
      </w:r>
    </w:p>
    <w:p>
      <w:pPr>
        <w:jc w:val="center"/>
      </w:pPr>
      <w:r>
        <w:drawing>
          <wp:inline xmlns:a="http://schemas.openxmlformats.org/drawingml/2006/main" xmlns:pic="http://schemas.openxmlformats.org/drawingml/2006/picture">
            <wp:extent cx="5486400" cy="2560320"/>
            <wp:docPr id="9" name="Picture 9"/>
            <wp:cNvGraphicFramePr>
              <a:graphicFrameLocks noChangeAspect="1"/>
            </wp:cNvGraphicFramePr>
            <a:graphic>
              <a:graphicData uri="http://schemas.openxmlformats.org/drawingml/2006/picture">
                <pic:pic>
                  <pic:nvPicPr>
                    <pic:cNvPr id="0" name="gold_price_forecast_svr_comparison.png"/>
                    <pic:cNvPicPr/>
                  </pic:nvPicPr>
                  <pic:blipFill>
                    <a:blip r:embed="rId12"/>
                    <a:stretch>
                      <a:fillRect/>
                    </a:stretch>
                  </pic:blipFill>
                  <pic:spPr>
                    <a:xfrm>
                      <a:off x="0" y="0"/>
                      <a:ext cx="5486400" cy="2560320"/>
                    </a:xfrm>
                    <a:prstGeom prst="rect"/>
                  </pic:spPr>
                </pic:pic>
              </a:graphicData>
            </a:graphic>
          </wp:inline>
        </w:drawing>
      </w:r>
    </w:p>
    <w:p>
      <w:pPr>
        <w:jc w:val="center"/>
      </w:pPr>
      <w:r>
        <w:rPr>
          <w:i/>
          <w:sz w:val="20"/>
        </w:rPr>
        <w:t>Fig: SVM Kernel Comparison highlighting the variance in prediction smoothing between Linear, RBF, and Polynomial kernels.</w:t>
      </w:r>
    </w:p>
    <w:p>
      <w:pPr>
        <w:pStyle w:val="Heading2"/>
      </w:pPr>
      <w:r>
        <w:rPr>
          <w:color w:val="000000"/>
        </w:rPr>
        <w:t>Dashboard and API Integration</w:t>
      </w:r>
    </w:p>
    <w:p>
      <w:pPr>
        <w:jc w:val="both"/>
      </w:pPr>
      <w:r>
        <w:t>To make the predictive models accessible and interactive for stakeholders, a full-stack user interface and programmatic service layer were developed in Python.</w:t>
      </w:r>
    </w:p>
    <w:p>
      <w:pPr>
        <w:jc w:val="both"/>
      </w:pPr>
      <w:r>
        <w:t>1. Interactive Dashboard (Streamlit): A user-friendly, responsive web interface was developed using Streamlit. It allows users to switch between the SARIMA (long-term) and SVM (immediate next-month) models, providing dynamic charts and predictions.</w:t>
      </w:r>
    </w:p>
    <w:p>
      <w:pPr>
        <w:jc w:val="center"/>
      </w:pPr>
      <w:r>
        <w:drawing>
          <wp:inline xmlns:a="http://schemas.openxmlformats.org/drawingml/2006/main" xmlns:pic="http://schemas.openxmlformats.org/drawingml/2006/picture">
            <wp:extent cx="5486400" cy="3086100"/>
            <wp:docPr id="10" name="Picture 10"/>
            <wp:cNvGraphicFramePr>
              <a:graphicFrameLocks noChangeAspect="1"/>
            </wp:cNvGraphicFramePr>
            <a:graphic>
              <a:graphicData uri="http://schemas.openxmlformats.org/drawingml/2006/picture">
                <pic:pic>
                  <pic:nvPicPr>
                    <pic:cNvPr id="0" name="streamlit_dashboard.png"/>
                    <pic:cNvPicPr/>
                  </pic:nvPicPr>
                  <pic:blipFill>
                    <a:blip r:embed="rId13"/>
                    <a:stretch>
                      <a:fillRect/>
                    </a:stretch>
                  </pic:blipFill>
                  <pic:spPr>
                    <a:xfrm>
                      <a:off x="0" y="0"/>
                      <a:ext cx="5486400" cy="3086100"/>
                    </a:xfrm>
                    <a:prstGeom prst="rect"/>
                  </pic:spPr>
                </pic:pic>
              </a:graphicData>
            </a:graphic>
          </wp:inline>
        </w:drawing>
      </w:r>
    </w:p>
    <w:p>
      <w:pPr>
        <w:jc w:val="center"/>
      </w:pPr>
      <w:r>
        <w:rPr>
          <w:i/>
          <w:sz w:val="20"/>
        </w:rPr>
        <w:t>Fig: The Streamlit Web Interface displaying instantaneous predictions alongside dynamic forecasting visualizations.</w:t>
      </w:r>
    </w:p>
    <w:p>
      <w:pPr>
        <w:jc w:val="both"/>
      </w:pPr>
      <w:r>
        <w:t>2. RESTful API (FastAPI): A robust backend service providing direct endpoints for external applications to query predictions programmatically without manual intervention.</w:t>
      </w:r>
    </w:p>
    <w:p>
      <w:r>
        <w:rPr>
          <w:color w:val="FF0000"/>
        </w:rPr>
        <w:t>[Missing Image: Documentation/fastapi_swagger.png]</w:t>
      </w:r>
    </w:p>
    <w:p>
      <w:pPr>
        <w:jc w:val="center"/>
      </w:pPr>
      <w:r>
        <w:rPr>
          <w:i/>
          <w:sz w:val="20"/>
        </w:rPr>
        <w:t>Fig: The FastAPI Swagger Interface establishing standard documentation and endpoints for API inference.</w:t>
      </w:r>
    </w:p>
    <w:p>
      <w:pPr>
        <w:jc w:val="center"/>
      </w:pPr>
      <w:r>
        <w:rPr>
          <w:b/>
          <w:sz w:val="32"/>
        </w:rPr>
        <w:t>CHAPTER 5</w:t>
      </w:r>
    </w:p>
    <w:p>
      <w:pPr>
        <w:jc w:val="center"/>
      </w:pPr>
      <w:r>
        <w:rPr>
          <w:b/>
          <w:sz w:val="28"/>
        </w:rPr>
        <w:t>CONCLUSION</w:t>
      </w:r>
    </w:p>
    <w:p>
      <w:pPr>
        <w:pStyle w:val="Heading2"/>
      </w:pPr>
      <w:r>
        <w:rPr>
          <w:color w:val="000000"/>
        </w:rPr>
        <w:t>Summary</w:t>
      </w:r>
    </w:p>
    <w:p>
      <w:pPr>
        <w:jc w:val="both"/>
      </w:pPr>
      <w:r>
        <w:t>This research successfully explored and implemented the use of statistical and machine learning algorithms for the objective of long-term and immediate gold price forecasting. By constructing a 5-year outlook spanning from September 2025 to August 2030, this project serves as a cornerstone reference for analyzing future market growth vectors. The deployment of a unified predictive web interface and corresponding RESTful API further illustrates the capability of bridging advanced computational models directly into functional tools for stakeholders.</w:t>
      </w:r>
    </w:p>
    <w:p>
      <w:pPr>
        <w:pStyle w:val="Heading2"/>
      </w:pPr>
      <w:r>
        <w:rPr>
          <w:color w:val="000000"/>
        </w:rPr>
        <w:t>Key Findings</w:t>
      </w:r>
    </w:p>
    <w:p>
      <w:pPr>
        <w:jc w:val="both"/>
      </w:pPr>
      <w:r>
        <w:t>The comparative analysis revealed key operational dynamics between algorithms. The SVM models, especially those utilizing the Linear and Polynomial kernels, demonstrated significant capability in modeling the non-linear, immediate monthly adjustments observed in volatile modern markets. In contrast, the SARIMA model excelled at capturing broader macroeconomic trajectories, delivering reliable forward-looking projections that are stable enough for strategic multi-year planning. Thus, for extended five-year forecasting horizons, seasonal statistical formulations remain structurally favorable over purely computational non-linear mapping.</w:t>
      </w:r>
    </w:p>
    <w:p>
      <w:pPr>
        <w:pStyle w:val="Heading2"/>
      </w:pPr>
      <w:r>
        <w:rPr>
          <w:color w:val="000000"/>
        </w:rPr>
        <w:t>Limitations</w:t>
      </w:r>
    </w:p>
    <w:p>
      <w:pPr>
        <w:jc w:val="both"/>
      </w:pPr>
      <w:r>
        <w:t>Despite the extensive 25-year dataset and systematic methodology, external unpredictable market shocks—ranging from abrupt geopolitical shifts to unprecedented black swan economic crises—remain inherent challenges to pure quantitative models. The features analyzed do not account for external real-time text sentiment or newly announced global central bank policies that may abruptly override historical momentum.</w:t>
      </w:r>
    </w:p>
    <w:p>
      <w:pPr>
        <w:pStyle w:val="Heading2"/>
      </w:pPr>
      <w:r>
        <w:rPr>
          <w:color w:val="000000"/>
        </w:rPr>
        <w:t>Future Scope</w:t>
      </w:r>
    </w:p>
    <w:p>
      <w:pPr>
        <w:jc w:val="both"/>
      </w:pPr>
      <w:r>
        <w:t>Future iterations of this predictive framework hold significant potential for expansion. Further research can incorporate Deep Learning architectures, specifically architectures like CNN-LSTMs and Transformers, to simultaneously ingest chronological price action alongside high-velocity data points like macroeconomic indicators, US Dollar Index fluctuations, or news sentiment analytics. Additionally, integrating cloud-native model retraining pipelines could establish continuous learning infrastructures that evolve dynamically as the global marketplace continuously shifts.</w:t>
      </w:r>
    </w:p>
    <w:sectPr w:rsidR="008C0A79">
      <w:pgSz w:w="11909" w:h="16834"/>
      <w:pgMar w:top="1067" w:right="1092" w:bottom="0" w:left="1275" w:header="1052"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33BCB66-7136-4F30-82CE-21BD57A3A254}"/>
  </w:font>
  <w:font w:name="Cambria">
    <w:panose1 w:val="02040503050406030204"/>
    <w:charset w:val="00"/>
    <w:family w:val="roman"/>
    <w:pitch w:val="variable"/>
    <w:sig w:usb0="E00006FF" w:usb1="420024FF" w:usb2="02000000" w:usb3="00000000" w:csb0="0000019F" w:csb1="00000000"/>
    <w:embedRegular r:id="rId2" w:fontKey="{0BE435A4-AC1F-4E10-B9D5-5BC96A0FEBE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9724F"/>
    <w:multiLevelType w:val="multilevel"/>
    <w:tmpl w:val="0152DF7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35775A2B"/>
    <w:multiLevelType w:val="multilevel"/>
    <w:tmpl w:val="C3A416B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4ADC0F3A"/>
    <w:multiLevelType w:val="multilevel"/>
    <w:tmpl w:val="9DD455D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15:restartNumberingAfterBreak="0">
    <w:nsid w:val="5A470CE4"/>
    <w:multiLevelType w:val="multilevel"/>
    <w:tmpl w:val="90AC7B7A"/>
    <w:lvl w:ilvl="0">
      <w:start w:val="1"/>
      <w:numFmt w:val="decimal"/>
      <w:lvlText w:val="[%1]"/>
      <w:lvlJc w:val="left"/>
      <w:pPr>
        <w:ind w:left="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45D1B8C"/>
    <w:multiLevelType w:val="multilevel"/>
    <w:tmpl w:val="69C65E0C"/>
    <w:lvl w:ilvl="0">
      <w:start w:val="1"/>
      <w:numFmt w:val="decimal"/>
      <w:lvlText w:val="%1."/>
      <w:lvlJc w:val="right"/>
      <w:pPr>
        <w:ind w:left="720" w:hanging="360"/>
      </w:pPr>
      <w:rPr>
        <w:rFonts w:hint="default"/>
        <w:u w:val="none"/>
      </w:rPr>
    </w:lvl>
    <w:lvl w:ilvl="1">
      <w:start w:val="1"/>
      <w:numFmt w:val="decimal"/>
      <w:lvlText w:val="%1.%2."/>
      <w:lvlJc w:val="right"/>
      <w:pPr>
        <w:ind w:left="1440" w:hanging="360"/>
      </w:pPr>
      <w:rPr>
        <w:rFonts w:hint="default"/>
        <w:u w:val="none"/>
      </w:rPr>
    </w:lvl>
    <w:lvl w:ilvl="2">
      <w:start w:val="1"/>
      <w:numFmt w:val="decimal"/>
      <w:lvlText w:val="%1.%2.%3."/>
      <w:lvlJc w:val="right"/>
      <w:pPr>
        <w:ind w:left="2160" w:hanging="360"/>
      </w:pPr>
      <w:rPr>
        <w:rFonts w:hint="default"/>
        <w:u w:val="none"/>
      </w:rPr>
    </w:lvl>
    <w:lvl w:ilvl="3">
      <w:start w:val="1"/>
      <w:numFmt w:val="decimal"/>
      <w:lvlText w:val="%1.%2.%3.%4."/>
      <w:lvlJc w:val="right"/>
      <w:pPr>
        <w:ind w:left="2880" w:hanging="360"/>
      </w:pPr>
      <w:rPr>
        <w:rFonts w:hint="default"/>
        <w:u w:val="none"/>
      </w:rPr>
    </w:lvl>
    <w:lvl w:ilvl="4">
      <w:start w:val="1"/>
      <w:numFmt w:val="decimal"/>
      <w:lvlText w:val="%1.%2.%3.%4.%5."/>
      <w:lvlJc w:val="right"/>
      <w:pPr>
        <w:ind w:left="3600" w:hanging="360"/>
      </w:pPr>
      <w:rPr>
        <w:rFonts w:hint="default"/>
        <w:u w:val="none"/>
      </w:rPr>
    </w:lvl>
    <w:lvl w:ilvl="5">
      <w:start w:val="1"/>
      <w:numFmt w:val="decimal"/>
      <w:lvlText w:val="%1.%2.%3.%4.%5.%6."/>
      <w:lvlJc w:val="right"/>
      <w:pPr>
        <w:ind w:left="4320" w:hanging="360"/>
      </w:pPr>
      <w:rPr>
        <w:rFonts w:hint="default"/>
        <w:u w:val="none"/>
      </w:rPr>
    </w:lvl>
    <w:lvl w:ilvl="6">
      <w:start w:val="1"/>
      <w:numFmt w:val="decimal"/>
      <w:lvlText w:val="%1.%2.%3.%4.%5.%6.%7."/>
      <w:lvlJc w:val="right"/>
      <w:pPr>
        <w:ind w:left="5040" w:hanging="360"/>
      </w:pPr>
      <w:rPr>
        <w:rFonts w:hint="default"/>
        <w:u w:val="none"/>
      </w:rPr>
    </w:lvl>
    <w:lvl w:ilvl="7">
      <w:start w:val="1"/>
      <w:numFmt w:val="decimal"/>
      <w:lvlText w:val="%1.%2.%3.%4.%5.%6.%7.%8."/>
      <w:lvlJc w:val="right"/>
      <w:pPr>
        <w:ind w:left="5760" w:hanging="360"/>
      </w:pPr>
      <w:rPr>
        <w:rFonts w:hint="default"/>
        <w:u w:val="none"/>
      </w:rPr>
    </w:lvl>
    <w:lvl w:ilvl="8">
      <w:start w:val="1"/>
      <w:numFmt w:val="decimal"/>
      <w:lvlText w:val="%1.%2.%3.%4.%5.%6.%7.%8.%9."/>
      <w:lvlJc w:val="right"/>
      <w:pPr>
        <w:ind w:left="6480" w:hanging="360"/>
      </w:pPr>
      <w:rPr>
        <w:rFonts w:hint="default"/>
        <w:u w:val="none"/>
      </w:rPr>
    </w:lvl>
  </w:abstractNum>
  <w:num w:numId="1" w16cid:durableId="1012608668">
    <w:abstractNumId w:val="4"/>
  </w:num>
  <w:num w:numId="2" w16cid:durableId="1956907730">
    <w:abstractNumId w:val="3"/>
  </w:num>
  <w:num w:numId="3" w16cid:durableId="403526140">
    <w:abstractNumId w:val="0"/>
  </w:num>
  <w:num w:numId="4" w16cid:durableId="1558006511">
    <w:abstractNumId w:val="1"/>
  </w:num>
  <w:num w:numId="5" w16cid:durableId="15780543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A79"/>
    <w:rsid w:val="000F7F95"/>
    <w:rsid w:val="004C3F8E"/>
    <w:rsid w:val="008C0A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CBB75"/>
  <w15:docId w15:val="{8B4A3172-494E-4627-94D9-C1EB2FF23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F8E"/>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23</Pages>
  <Words>5615</Words>
  <Characters>32007</Characters>
  <Application>Microsoft Office Word</Application>
  <DocSecurity>0</DocSecurity>
  <Lines>266</Lines>
  <Paragraphs>75</Paragraphs>
  <ScaleCrop>false</ScaleCrop>
  <Company/>
  <LinksUpToDate>false</LinksUpToDate>
  <CharactersWithSpaces>37547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Vellon Moraes</cp:lastModifiedBy>
  <cp:revision>2</cp:revision>
  <dcterms:created xsi:type="dcterms:W3CDTF">2026-03-19T08:54:00Z</dcterms:created>
  <dcterms:modified xsi:type="dcterms:W3CDTF">2026-03-19T09:02:00Z</dcterms:modified>
</cp:coreProperties>
</file>