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</w:t>
      </w:r>
      <w:r>
        <w:rPr>
          <w:rFonts w:ascii="Times New Roman" w:hAnsi="Times New Roman" w:cs="Times New Roman"/>
          <w:sz w:val="32"/>
          <w:sz-cs w:val="32"/>
          <w:b/>
        </w:rPr>
        <w:t xml:space="preserve">Лабораторная работа №2.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ИССЛЕДОВАНИЕ СВОЙСТВ УСИЛИТЕЛЯ С ОТРИЦАТЕЛЬНОЙ ОБРАТНОЙ СВЯЗЬЮ.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                Цель работы.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Исследование влияния отрицательной обратной связи  на основные показатели усилителя при различных видах обратной связи.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Изучение работы программы схемотехнического моделирования MicroCap 9 (10).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          Задание на расчетную часть.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Значения элементов схемы указаны на рис.1, где приведена схема двухкаскадного усилителя, охваченного разными видами обратной связи,  коммутируемыми ключами SWITCH.  Напряжение источника питания V2=12 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Рис.1. Схема исследуемого усилителя для различных вариантов.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V1 – модель 1MHZ.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Рассчитать глубину обратной связи для различных вариантов исследуемого усилителя на средних частотах.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ВАРИАНТЫ РАСЧЕТНОЙ ЧАСТИ ЗАДАЮТСЯ ПРЕПОДАВАТЕЛЕМ.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Для того, чтобы замкнуть или разомкнуть ключ, необходимо 2 раза щелкнуть по нему мышкой (данный элемент можно найти в директории: Components/Animation/Animated SPST switch).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Варианты задания: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2.1: Межкаскадная частотно-зависимая последовательная ООС по напряжению </w:t>
      </w:r>
      <w:r>
        <w:rPr>
          <w:rFonts w:ascii="Times New Roman" w:hAnsi="Times New Roman" w:cs="Times New Roman"/>
          <w:sz w:val="24"/>
          <w:sz-cs w:val="24"/>
        </w:rPr>
        <w:t xml:space="preserve">за счет R9, C5, C7 (ключи 2, 3, 4, 6 замкнуты; 1 и 5 разомкнуты). Рис. 2.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Рис.2. Частотно-зависимая ОС.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2.2: Внешняя частотно-независимая ООС </w:t>
      </w:r>
      <w:r>
        <w:rPr>
          <w:rFonts w:ascii="Times New Roman" w:hAnsi="Times New Roman" w:cs="Times New Roman"/>
          <w:sz w:val="24"/>
          <w:sz-cs w:val="24"/>
        </w:rPr>
        <w:t xml:space="preserve">за счет R9 (ключи 2, 3, 5, 6 замкнуты; 1, 4 разомкнуты). Рис.3.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 3. Частотно-независимая ОС.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2.3: Последовательная ООС по току в первом каскаде </w:t>
      </w:r>
      <w:r>
        <w:rPr>
          <w:rFonts w:ascii="Times New Roman" w:hAnsi="Times New Roman" w:cs="Times New Roman"/>
          <w:sz w:val="24"/>
          <w:sz-cs w:val="24"/>
        </w:rPr>
        <w:t xml:space="preserve">за счет резистора R3 (ключи 2, 3 замкнуты; 1, 4, 5, 6 разомкнуты). Рис. 4.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 4. ОС в первом каскаде.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2.4: Последовательная ООС по току во втором каскаде </w:t>
      </w:r>
      <w:r>
        <w:rPr>
          <w:rFonts w:ascii="Times New Roman" w:hAnsi="Times New Roman" w:cs="Times New Roman"/>
          <w:sz w:val="24"/>
          <w:sz-cs w:val="24"/>
        </w:rPr>
        <w:t xml:space="preserve">за счет резистора R8 (ключи 1, 3 замкнуты; 2, 4, 5, 6 разомкнуты). Рис. 5.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Рис.5. ОС во втором каскаде.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2.5: Параллельная ООС по току, охватывающая оба каскада, </w:t>
      </w:r>
      <w:r>
        <w:rPr>
          <w:rFonts w:ascii="Times New Roman" w:hAnsi="Times New Roman" w:cs="Times New Roman"/>
          <w:sz w:val="24"/>
          <w:sz-cs w:val="24"/>
        </w:rPr>
        <w:t xml:space="preserve">за счет резисторов R4 и R6 (ключ 1 замкнут; 2, 3, 4, 5, 6 разомкнуты). Рис. 6.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Рис.6. ОС, охватывающая оба каскада.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Формулы для предварительного расчета: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2.3.</w:t>
      </w:r>
      <w:r>
        <w:rPr>
          <w:rFonts w:ascii="Times New Roman" w:hAnsi="Times New Roman" w:cs="Times New Roman"/>
          <w:sz w:val="24"/>
          <w:sz-cs w:val="24"/>
        </w:rPr>
        <w:t xml:space="preserve">(стр.219)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QUOTE   где Rэ = R3.  QUOTE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2.4.</w:t>
      </w:r>
      <w:r>
        <w:rPr>
          <w:rFonts w:ascii="Times New Roman" w:hAnsi="Times New Roman" w:cs="Times New Roman"/>
          <w:sz w:val="24"/>
          <w:sz-cs w:val="24"/>
        </w:rPr>
        <w:t xml:space="preserve"> (стр.219)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QUOTE   где Rэ = R8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Варианты 2.1 и 2.2.</w:t>
      </w:r>
      <w:r>
        <w:rPr>
          <w:rFonts w:ascii="Times New Roman" w:hAnsi="Times New Roman" w:cs="Times New Roman"/>
          <w:sz w:val="24"/>
          <w:sz-cs w:val="24"/>
        </w:rPr>
        <w:t xml:space="preserve">(стр.39-42)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QUOTE   где Rэ = R3</w:t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Вариант 2.5.</w:t>
      </w:r>
      <w:r>
        <w:rPr>
          <w:rFonts w:ascii="Times New Roman" w:hAnsi="Times New Roman" w:cs="Times New Roman"/>
          <w:sz w:val="24"/>
          <w:sz-cs w:val="24"/>
        </w:rPr>
        <w:t xml:space="preserve">(стр.48)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Задание на экспериментальную часть: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Составить индивидуальную схему каскада по заданию, используя ключи.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Определить и записать параметры режима каскада (токи в ветвях и напряжения в узлах схемы).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 режиме расчета частотных характеристик: </w:t>
        <w:br/>
        <w:t xml:space="preserve"> - получить и зарисовать АЧХ коэффициентов усиления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>(f) и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скв</w:t>
      </w:r>
      <w:r>
        <w:rPr>
          <w:rFonts w:ascii="Times New Roman" w:hAnsi="Times New Roman" w:cs="Times New Roman"/>
          <w:sz w:val="24"/>
          <w:sz-cs w:val="24"/>
        </w:rPr>
        <w:t xml:space="preserve">(f).</w:t>
        <w:br/>
        <w:t xml:space="preserve"> - определить величину коэффициента усиления в области средних частот.</w:t>
        <w:br/>
        <w:t xml:space="preserve"> - определить значения верхней и нижней граничных частот АЧХ на уровне 0,707  (-3 дБ).</w:t>
        <w:br/>
        <w:t xml:space="preserve"> - получить и зарисовать АЧХ усилителя при изменении величины сопротивления нагрузки R10 от 1k до 1.6k с шагом 0.3k.</w:t>
        <w:br/>
        <w:t xml:space="preserve"> - по результатам эксперимента рассчитать значение глубины обратной связи А.</w:t>
        <w:br/>
        <w:t xml:space="preserve"> - получить и зарисовать ФЧХ усилительного каскада.</w:t>
        <w:br/>
        <w:t xml:space="preserve"> - оценить значения фазочастотных искажений на верхней и нижней граничных частотах.</w:t>
        <w:br/>
        <w:t xml:space="preserve"> - получить и зарисовать графики зависимости Rвх от частоты.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 режиме расчета переходных характеристик:</w:t>
        <w:br/>
        <w:t xml:space="preserve"> - получить и зарисовать переходные характеристики.</w:t>
        <w:br/>
        <w:t xml:space="preserve"> - определить время установления и величину спада плоской вершины импульса.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Повторить пункты 2, 3, 4 для усилителя без обратной связи (ключи 1, 2, 3, 5 замкнуты; 4 и 6 разомкнуты).</w:t>
      </w:r>
    </w:p>
    <w:p>
      <w:pPr>
        <w:ind w:left="3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4"/>
          <w:sz-cs w:val="24"/>
          <w:b/>
        </w:rPr>
        <w:t xml:space="preserve">Указания к выполнению эксперимента:</w:t>
      </w:r>
    </w:p>
    <w:p>
      <w:pPr>
        <w:ind w:left="3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Проверка режима по постоянному току </w:t>
      </w:r>
      <w:r>
        <w:rPr>
          <w:rFonts w:ascii="Times New Roman" w:hAnsi="Times New Roman" w:cs="Times New Roman"/>
          <w:sz w:val="24"/>
          <w:sz-cs w:val="24"/>
        </w:rPr>
        <w:t xml:space="preserve">выполняется с помощью выбора команды Dynamic DC в меню Analysis. Используйте кнопки пиктограммы на панели инструментов. При их нажатии на схеме появляются значения измеряемых величин.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Режим расчета ЧХ.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Для расчета частотных характеристик выберите режим AC в меню Analysis.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Для исследования АЧХ окно пределов измерения: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Режим Stepping.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 этом режиме есть возможность снятия графиков при пошаговом изменении величины какого-либо из элементов схемы.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На рисунке показан пример изменения сопротивления нагрузки R10 от 1кОм до 1,6кОм с шагом 0,3кОм.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После снятия графиков делаются выводы о влиянии данного элемента схемы на АЧХ.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Глубину обратной связи находим, как: A=K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 cp</w:t>
      </w:r>
      <w:r>
        <w:rPr>
          <w:rFonts w:ascii="Times New Roman" w:hAnsi="Times New Roman" w:cs="Times New Roman"/>
          <w:sz w:val="24"/>
          <w:sz-cs w:val="24"/>
        </w:rPr>
        <w:t xml:space="preserve">/K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 cp ooc</w:t>
      </w:r>
      <w:r>
        <w:rPr>
          <w:rFonts w:ascii="Times New Roman" w:hAnsi="Times New Roman" w:cs="Times New Roman"/>
          <w:sz w:val="24"/>
          <w:sz-cs w:val="24"/>
        </w:rPr>
        <w:t xml:space="preserve">, коэффициенты усиления определяем по соответствующим графикам АЧХ.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Для исследования ФЧХ и снятия зависимости входного сопротивления от частоты окно пределов измерения указано вместе с окном пределов для АЧХ.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Режим расчета переходных характеристик: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Для анализа переходных процессов нужно изменить источник синусоидального напряжения на источник импульсных сигналов (Pulse Source) и изменить параметры модели Pulse.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Для малых времен: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Для больших времен: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В меню Analysis выбрать режим Transient и задаться необходимыми параметрами.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Для малых времен.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Для больших времен: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Рекомендуемая таблица для записи полученных результатов: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ОС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расчетное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ОС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экспериментальное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Без ОС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экспериментальное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Rвх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гр. н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гр. в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Ku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∆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уст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Модель транзистора: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Krokoz™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Юлия-Молодой</dc:creator>
  <cp:lastModifiedBy>Ярослав Литвин</cp:lastModifiedBy>
  <dcterms:created>2015-11-09T10:37:00Z</dcterms:created>
  <dcterms:modified>2015-11-09T10:37:00Z</dcterms:modified>
</cp:coreProperties>
</file>

<file path=docProps/meta.xml><?xml version="1.0" encoding="utf-8"?>
<meta xmlns="http://schemas.apple.com/cocoa/2006/metadata">
  <generator>CocoaOOXMLWriter/2685.4</generator>
</meta>
</file>