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03/02/2026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Empréstimo Pessoal - CONTRATAÇÃO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Nathalia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03/02/2026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Padronizar o atendimento relacionado ao Empréstimo Pessoal do Velotax, garantindo que as orientações fornecidas aos clientes sejam realizadas de forma uniforme e em conformidade com as regras vigentes do produto.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aos colaboradores responsáveis pelo atendimento aos clientes durante o processo de contratação do Empréstimo Pessoal do Velotax.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CET: Custo Efetivo Total da operação: Composto por juros, encargos e demais custos aplicáveis ao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Finance: Sistema de compartilhamento de dados financeiros autorizado pelo cliente para análise.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CCB: Cédula de Crédito Bancário: Formalizada eletronicamente pelo cliente durante a contratação.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Responsável por orientar os clientes durante o processo de contratação do Empréstimo Pessoal, incluindo o consentimento do Open Finance.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relacionada ao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Questionar e validar com o cliente qual etapa da contratação ele se encontra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Solicitar evidências ao cliente quando necessário para identificar a etapa da contratação, validar erros apresentados ou analisar divergências relatadas.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sobre Empréstimo Pessoal disponíveis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o cenário apresentado no CRM, podendo ser cliente elegível, cliente inelegível, contrato em vigência ou contrato quitado.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esteja inelegível, informar o motivo apresentado no CRM, orientar que a análise é realizada automaticamente e que uma nova avaliação poderá ocorrer futuramente, orientando nova tentativa após 30 dias.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App | 30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esteja elegível, validar por meio do relato do cliente e das evidências apresentadas se o processo de contratação já foi iniciado.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cliente realizou e concluiu o compartilhamento das informações bancárias por meio do Open Finance. Caso não tenha realizado, orientar sobre a necessidade da conclusão desta etapa para continuidade da análise. Caso relate erro ou dificuldade durante o processo, solicitar evidências e orientar conforme procedimento vigente.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cliente já recebeu retorno da análise após a conclusão do Open Finance.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análise ainda esteja em processamento, orientar o cliente quanto ao prazo de até 5 minutos informado pelo aplicativo para conclusão da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App | 5 Minutos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análise tenha sido concluída, validar com o cliente se as condições da proposta foram disponibilizadas para visualização.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cliente conseguiu prosseguir até a etapa de formalização da contratação.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existência de CCB emitida e sua vigência.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exista CCB emitida, orientar o cliente sobre a formalização do contrato, número da CCB, valor contratado, quantidade de parcelas, datas de vencimento, data de desembolso e demais informações disponíveis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relate que o valor do Empréstimo Pessoal não caiu na conta, perguntar obrigatoriamente há quanto tempo o contrato foi assinado (data da CCB). Se for menos de 30 minutos, orientar o cliente a aguardar, pois esse é o prazo padrão de liberação, sem abrir chamado. Se for mais de 30 minutos, orientar a aguardar um pouco mais — o prazo pode chegar a até 1 hora — e, nesse meio tempo, validar em qual banco está cadastrada a chave Pix CPF do cliente, que pode ser diferente do banco utilizado no Open Finance.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Após 1 hora da assinatura sem o valor ter caído, verificar se o cliente sabe em qual banco está cadastrada sua chave Pix CPF (dica: simular o envio de um Pix para o próprio CPF em qualquer aplicativo bancário mostra o banco de destino antes de confirmar). Caso o cliente confirme o banco e garanta que o valor não entrou lá, abrir chamado. Caso a chave não esteja cadastrada em banco nenhum, orientar o cadastro no banco de preferência do cliente e solicitar retorno ao atendimento após concluído; o chamado somente deverá ser aberto após essa confirmação, solicitando uma nova tentativa de pagamento para a chave já ativa.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relate que o valor caiu em uma conta que não era a desejada e queira cancelar o contrato, informar que a escolha do banco onde a chave Pix CPF está cadastrada é de responsabilidade exclusiva do cliente; se ainda assim desejar cancelar, orientar sobre o direito de arrependimento em até 7 dias corridos a partir da data de desembolso (Art. 49 do CDC), com devolução integral do valor via Pix. Caso o cliente relate que o banco de destino reteve o valor recebido para amortizar dívidas ou tarifas próprias, explicar de forma neutra que a Velotax não tem responsabilidade nem controle sobre as ações do banco detentor da chave Pix, orientando o cliente a contestar diretamente com aquela instituição — esse cenário não deve ser encaminhado para chamado da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não exista CCB emitida, identificar por meio do relato do cliente e das evidências apresentadas em qual etapa da contratação o processo foi interrompido e orientar conforme procedimento vigente.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Quando houver divergência entre as informações apresentadas pelo cliente e os dados disponíveis no CRM, solicitar evidências complementares para validação do cenário.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requisição para análise das áreas responsáveis quando identificadas divergências sistêmicas, inconsistências operacionais ou situações não previstas neste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Produtos | 24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Repassar à gestão os casos recorrentes, críticos ou que dependam de validação adicional.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Gestão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com a tabulação “Produto: Empréstimo Pessoal &gt; Motivo: Informações para Contratação”, e encerrar a interação.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70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</w:p>
    <w:tbl>
      <w:tblPr>
        <w:tblStyle w:val="Table6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8"/>
        <w:gridCol w:w="1051"/>
        <w:gridCol w:w="1543"/>
        <w:gridCol w:w="6273"/>
        <w:tblGridChange w:id="0">
          <w:tblGrid>
            <w:gridCol w:w="1618"/>
            <w:gridCol w:w="1051"/>
            <w:gridCol w:w="1543"/>
            <w:gridCol w:w="62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 Finance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do compartilhamento de dados bancários.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Elegibilidade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se o cliente está apto a solicitar o Empréstimo Pessoal.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Motivo da Inelegibilidade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Apresenta o motivo da negativa quando não houver oferta disponível.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Status da Contratação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 se o cliente iniciou, concluiu ou possui contratação em andamento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CCB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a existência e o número da Cédula de Crédito Bancário emitida.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Depositado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liberado ao cliente após a contratação.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Total Devido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total da dívida.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de Desembolso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em que o valor foi disponibilizado ao cliente.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Status do Contrato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 a situação do contrato (Ativo, Atrasado ou Quitado).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Quantidade de Parcelas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Total de parcelas contratadas.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Status das Parcelas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Situação individual das parcelas contratadas.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das Parcelas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de cada parcela do contrato.</w:t>
            </w:r>
          </w:p>
        </w:tc>
      </w:tr>
    </w:tbl>
    <w:p w:rsidR="00000000" w:rsidDel="00000000" w:rsidP="00000000" w:rsidRDefault="00000000" w:rsidRPr="00000000" w14:paraId="000000A5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5.2. PRAZOS E SLAS DO PROCESSO</w:t>
      </w:r>
    </w:p>
    <w:tbl>
      <w:tblPr>
        <w:tblStyle w:val="Table7"/>
        <w:tblW w:w="10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9"/>
        <w:gridCol w:w="5777"/>
        <w:gridCol w:w="3104"/>
        <w:tblGridChange w:id="0">
          <w:tblGrid>
            <w:gridCol w:w="1599"/>
            <w:gridCol w:w="5777"/>
            <w:gridCol w:w="3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aaaaaa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" w:before="3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SLA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aaaaaa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AO QUE SE REFERE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aaaaaa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" w:before="3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REFERÊNCIA (ITEM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30" w:before="3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30" w:before="3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 e orientação ao cliente ao longo do fluxo de contratação (Atendente).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30" w:before="3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hyperlink w:anchor="bookmark=id.ykeqzxqokje2">
              <w:r w:rsidDel="00000000" w:rsidR="00000000" w:rsidRPr="00000000">
                <w:rPr>
                  <w:rFonts w:ascii="Arial" w:cs="Arial" w:eastAsia="Arial" w:hAnsi="Arial"/>
                  <w:color w:val="000000"/>
                  <w:sz w:val="19"/>
                  <w:szCs w:val="19"/>
                  <w:u w:val="none"/>
                  <w:rtl w:val="0"/>
                </w:rPr>
                <w:t xml:space="preserve">Etapas 1 a 9, 11 a 19 e 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30" w:before="3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30 dias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" w:before="3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Prazo para nova tentativa após inelegibilidade ou reprovação na análise de crédito (Sistema).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" w:before="3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hyperlink w:anchor="bookmark=id.to7jdb836n4">
              <w:r w:rsidDel="00000000" w:rsidR="00000000" w:rsidRPr="00000000">
                <w:rPr>
                  <w:rFonts w:ascii="Arial" w:cs="Arial" w:eastAsia="Arial" w:hAnsi="Arial"/>
                  <w:color w:val="000000"/>
                  <w:sz w:val="19"/>
                  <w:szCs w:val="19"/>
                  <w:u w:val="none"/>
                  <w:rtl w:val="0"/>
                </w:rPr>
                <w:t xml:space="preserve">Etapa 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" w:before="3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Até 5 minutos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" w:before="3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Processamento da análise de crédito pelo aplicativo após a conclusão do Open Finance (App).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" w:before="3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hyperlink w:anchor="bookmark=id.m9hr9k3vfc4r">
              <w:r w:rsidDel="00000000" w:rsidR="00000000" w:rsidRPr="00000000">
                <w:rPr>
                  <w:rFonts w:ascii="Arial" w:cs="Arial" w:eastAsia="Arial" w:hAnsi="Arial"/>
                  <w:color w:val="000000"/>
                  <w:sz w:val="19"/>
                  <w:szCs w:val="19"/>
                  <w:u w:val="none"/>
                  <w:rtl w:val="0"/>
                </w:rPr>
                <w:t xml:space="preserve">Etapa 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" w:before="30" w:lineRule="auto"/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24 horas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" w:before="30" w:lineRule="auto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Análise da requisição registrada para as áreas responsáveis (Produtos).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hyperlink w:anchor="bookmark=id.r065kuikw4ty">
              <w:r w:rsidDel="00000000" w:rsidR="00000000" w:rsidRPr="00000000">
                <w:rPr>
                  <w:rFonts w:ascii="Arial" w:cs="Arial" w:eastAsia="Arial" w:hAnsi="Arial"/>
                  <w:color w:val="000000"/>
                  <w:sz w:val="19"/>
                  <w:szCs w:val="19"/>
                  <w:u w:val="none"/>
                  <w:rtl w:val="0"/>
                </w:rPr>
                <w:t xml:space="preserve">Etapa 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Repasse à gestão dos casos recorrentes, críticos ou que dependam de validação adicional (Gestão).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hyperlink w:anchor="bookmark=id.75g3evxbisyo">
              <w:r w:rsidDel="00000000" w:rsidR="00000000" w:rsidRPr="00000000">
                <w:rPr>
                  <w:rFonts w:ascii="Arial" w:cs="Arial" w:eastAsia="Arial" w:hAnsi="Arial"/>
                  <w:color w:val="000000"/>
                  <w:sz w:val="19"/>
                  <w:szCs w:val="19"/>
                  <w:u w:val="none"/>
                  <w:rtl w:val="0"/>
                </w:rPr>
                <w:t xml:space="preserve">Etapa 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hd w:fill="2e5fac" w:val="clear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consentimento do Open Finance é obrigatório para a análise de crédito.</w:t>
      </w:r>
    </w:p>
    <w:p w:rsidR="00000000" w:rsidDel="00000000" w:rsidP="00000000" w:rsidRDefault="00000000" w:rsidRPr="00000000" w14:paraId="000000BA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deverá concluir integralmente o processo de Open Finance para que a análise de crédito seja realizada.</w:t>
      </w:r>
    </w:p>
    <w:p w:rsidR="00000000" w:rsidDel="00000000" w:rsidP="00000000" w:rsidRDefault="00000000" w:rsidRPr="00000000" w14:paraId="000000BB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análise de crédito é realizada de forma automática pelo sistema.</w:t>
      </w:r>
    </w:p>
    <w:p w:rsidR="00000000" w:rsidDel="00000000" w:rsidP="00000000" w:rsidRDefault="00000000" w:rsidRPr="00000000" w14:paraId="000000BC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Após a conclusão do Open Finance, a análise poderá permanecer em processamento por até 5 minutos.</w:t>
      </w:r>
    </w:p>
    <w:p w:rsidR="00000000" w:rsidDel="00000000" w:rsidP="00000000" w:rsidRDefault="00000000" w:rsidRPr="00000000" w14:paraId="000000BD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aprovação da solicitação está sujeita aos critérios internos de análise do Velotax.</w:t>
      </w:r>
    </w:p>
    <w:p w:rsidR="00000000" w:rsidDel="00000000" w:rsidP="00000000" w:rsidRDefault="00000000" w:rsidRPr="00000000" w14:paraId="000000BE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resultado da análise é apresentado diretamente ao cliente ao final do processo.</w:t>
      </w:r>
    </w:p>
    <w:p w:rsidR="00000000" w:rsidDel="00000000" w:rsidP="00000000" w:rsidRDefault="00000000" w:rsidRPr="00000000" w14:paraId="000000BF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caso de reprovação, uma nova tentativa poderá ser realizada após 30 dias.</w:t>
      </w:r>
    </w:p>
    <w:p w:rsidR="00000000" w:rsidDel="00000000" w:rsidP="00000000" w:rsidRDefault="00000000" w:rsidRPr="00000000" w14:paraId="000000C0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motivo da inelegibilidade apresentado no CRM deverá ser utilizado como única fonte de informação para orientação ao cliente.</w:t>
      </w:r>
    </w:p>
    <w:p w:rsidR="00000000" w:rsidDel="00000000" w:rsidP="00000000" w:rsidRDefault="00000000" w:rsidRPr="00000000" w14:paraId="000000C1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É permitida apenas uma contratação ativa de Empréstimo Pessoal por cliente.</w:t>
      </w:r>
    </w:p>
    <w:p w:rsidR="00000000" w:rsidDel="00000000" w:rsidP="00000000" w:rsidRDefault="00000000" w:rsidRPr="00000000" w14:paraId="000000C2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 possuir idade entre 18 e 75 anos.</w:t>
      </w:r>
    </w:p>
    <w:p w:rsidR="00000000" w:rsidDel="00000000" w:rsidP="00000000" w:rsidRDefault="00000000" w:rsidRPr="00000000" w14:paraId="000000C3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valor aprovado, quando disponível, será apresentado diretamente no aplicativo.</w:t>
      </w:r>
    </w:p>
    <w:p w:rsidR="00000000" w:rsidDel="00000000" w:rsidP="00000000" w:rsidRDefault="00000000" w:rsidRPr="00000000" w14:paraId="000000C4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contratação somente será concluída após a assinatura da Cédula de Crédito Bancário (CCB).</w:t>
      </w:r>
    </w:p>
    <w:p w:rsidR="00000000" w:rsidDel="00000000" w:rsidP="00000000" w:rsidRDefault="00000000" w:rsidRPr="00000000" w14:paraId="000000C5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crédito será disponibilizado na conta vinculada à chave Pix CPF do cliente.</w:t>
      </w:r>
    </w:p>
    <w:p w:rsidR="00000000" w:rsidDel="00000000" w:rsidP="00000000" w:rsidRDefault="00000000" w:rsidRPr="00000000" w14:paraId="000000C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prazo para liberação do valor pode ocorrer entre 30 minutos e 24 horas após a confirmação da contratação.</w:t>
      </w:r>
    </w:p>
    <w:p w:rsidR="00000000" w:rsidDel="00000000" w:rsidP="00000000" w:rsidRDefault="00000000" w:rsidRPr="00000000" w14:paraId="000000C7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pagamento antecipado não garante aumento de limite ou nova aprovação de crédito.</w:t>
      </w:r>
    </w:p>
    <w:p w:rsidR="00000000" w:rsidDel="00000000" w:rsidP="00000000" w:rsidRDefault="00000000" w:rsidRPr="00000000" w14:paraId="000000C8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situações de divergência entre as informações apresentadas pelo cliente e os dados disponíveis no CRM, deverão ser solicitadas evidências para validação do cenário.</w:t>
      </w:r>
    </w:p>
    <w:p w:rsidR="00000000" w:rsidDel="00000000" w:rsidP="00000000" w:rsidRDefault="00000000" w:rsidRPr="00000000" w14:paraId="000000C9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Casos de inconsistência sistêmica, falhas operacionais ou situações não previstas neste procedimento deverão ser encaminhados para análise das áreas responsáveis por meio de requisição.</w:t>
      </w:r>
    </w:p>
    <w:p w:rsidR="00000000" w:rsidDel="00000000" w:rsidP="00000000" w:rsidRDefault="00000000" w:rsidRPr="00000000" w14:paraId="000000CA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utilizar exclusivamente as informações apresentadas nos sistemas oficiais e procedimentos vigentes para condução do atendimento.</w:t>
      </w:r>
    </w:p>
    <w:p w:rsidR="00000000" w:rsidDel="00000000" w:rsidP="00000000" w:rsidRDefault="00000000" w:rsidRPr="00000000" w14:paraId="000000CB">
      <w:pPr>
        <w:shd w:fill="2e5fac" w:val="clear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sdt>
              <w:sdtPr>
                <w:id w:val="105131719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2738835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Satisfação do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avaliações recebidas após o atendimento (CSAT Telefonia)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0045932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conformidades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desvios identificados em monitorias e auditorias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sdt>
              <w:sdtPr>
                <w:id w:val="-19899915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Resolutividade no Primeiro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solicitações sem necessidade de um novo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72296825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</w:p>
        </w:tc>
      </w:tr>
    </w:tbl>
    <w:p w:rsidR="00000000" w:rsidDel="00000000" w:rsidP="00000000" w:rsidRDefault="00000000" w:rsidRPr="00000000" w14:paraId="000000D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realização do consentimento do Open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bf4f14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sobre a obrigatoriedade do consentimento para prosseguir com a contratação.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Falha durante a análise de crédito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a aguardar o prazo de análise e realizar nova tentativa quando aplicável.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Banco não disponível para vinculação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os bancos elegíveis para compartilhamento via Open Finance.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Falha na assinatura da CCB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color w:val="c55a1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a revisar as informações e realizar uma nova tentativa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no desembolso do valor contratado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Aplicar a triagem prevista nas etapas 15 a 17 (tempo desde a assinatura, validação da chave Pix CPF e cenários de conta indevida ou retenção pelo banco) antes de abrir chamado.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 inadequada ou ausência de consulta ao Velobot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o Velobot sempre que houver dúvidas sobre o processo ou orientação ao cliente e seguir informações vigentes disponibilizadas pela ferramenta.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divergente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a utilização deste POP e realizar reciclagens periódicas da equipe. </w:t>
            </w:r>
          </w:p>
        </w:tc>
      </w:tr>
    </w:tbl>
    <w:p w:rsidR="00000000" w:rsidDel="00000000" w:rsidP="00000000" w:rsidRDefault="00000000" w:rsidRPr="00000000" w14:paraId="000000F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Cédula de Crédito Bancário (CCB)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Contrato formalizado eletronicamente pelo cliente durante a contratação do Empréstimo Pessoal.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Consentimento Open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da autorização concedida pelo cliente para compartilhamento de dados financeiros.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Histórico das interações realizadas pelos canais oficiais do Velotax.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N° do ticket gerado do atendimento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Comprovante de Depósito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do pagamento efetivado do montante contratado.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transação</w:t>
            </w:r>
          </w:p>
        </w:tc>
      </w:tr>
    </w:tbl>
    <w:p w:rsidR="00000000" w:rsidDel="00000000" w:rsidP="00000000" w:rsidRDefault="00000000" w:rsidRPr="00000000" w14:paraId="0000012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tbl>
      <w:tblPr>
        <w:tblStyle w:val="Table11"/>
        <w:tblW w:w="8464.0" w:type="dxa"/>
        <w:jc w:val="left"/>
        <w:tblLayout w:type="fixed"/>
        <w:tblLook w:val="0400"/>
      </w:tblPr>
      <w:tblGrid>
        <w:gridCol w:w="3710"/>
        <w:gridCol w:w="4754"/>
        <w:tblGridChange w:id="0">
          <w:tblGrid>
            <w:gridCol w:w="3710"/>
            <w:gridCol w:w="47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Cédula de Crédito Bancário (CCB)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 Formalização da contratação do Empréstimo Pessoal.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 Geral de Proteção de Dados (LGPD) – Lei nº 13.709/2018 - Regulamentação do tratamento de dados pessoais.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Política de Privacidade e Proteção de Dados - Diretrizes para tratamento de dados pessoais.</w:t>
      </w:r>
    </w:p>
    <w:p w:rsidR="00000000" w:rsidDel="00000000" w:rsidP="00000000" w:rsidRDefault="00000000" w:rsidRPr="00000000" w14:paraId="0000012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080" w:right="108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POP-EP-001 | Contratação Empréstimo Pessoal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188767798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34AA6"/>
  </w:style>
  <w:style w:type="paragraph" w:styleId="Rodap">
    <w:name w:val="footer"/>
    <w:basedOn w:val="Normal"/>
    <w:link w:val="Rodap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34AA6"/>
  </w:style>
  <w:style w:type="character" w:styleId="Refdecomentrio">
    <w:name w:val="annotation reference"/>
    <w:basedOn w:val="Fontepargpadro"/>
    <w:uiPriority w:val="99"/>
    <w:semiHidden w:val="1"/>
    <w:unhideWhenUsed w:val="1"/>
    <w:rsid w:val="00B10AE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B10AEA"/>
  </w:style>
  <w:style w:type="character" w:styleId="TextodecomentrioChar" w:customStyle="1">
    <w:name w:val="Texto de comentário Char"/>
    <w:basedOn w:val="Fontepargpadro"/>
    <w:link w:val="Textodecomentrio"/>
    <w:uiPriority w:val="99"/>
    <w:rsid w:val="00B10AEA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B10AEA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B10AEA"/>
    <w:rPr>
      <w:b w:val="1"/>
      <w:bCs w:val="1"/>
    </w:rPr>
  </w:style>
  <w:style w:type="table" w:styleId="Tabelacomgrade">
    <w:name w:val="Table Grid"/>
    <w:basedOn w:val="Tabelanormal"/>
    <w:uiPriority w:val="39"/>
    <w:rsid w:val="0097757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enoPendente">
    <w:name w:val="Unresolved Mention"/>
    <w:basedOn w:val="Fontepargpadro"/>
    <w:uiPriority w:val="99"/>
    <w:semiHidden w:val="1"/>
    <w:unhideWhenUsed w:val="1"/>
    <w:rsid w:val="00977574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C676A4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dN6jEM17ZuqpD4zBuQn47SHQCA==">CgMxLjAaJAoBMBIfCh0IB0IZCgVBcmlhbBIQQXJpYWwgVW5pY29kZSBNUxokCgExEh8KHQgHQhkKBUFyaWFsEhBBcmlhbCBVbmljb2RlIE1TGiQKATISHwodCAdCGQoFQXJpYWwSEEFyaWFsIFVuaWNvZGUgTVMaJAoBMxIfCh0IB0IZCgVBcmlhbBIQQXJpYWwgVW5pY29kZSBNUxokCgE0Eh8KHQgHQhkKBUFyaWFsEhBBcmlhbCBVbmljb2RlIE1TOAByITFHYVZiWlFGMTJ3UHVQOVRzQVR1aUpUYzVlelZLcFVH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2026-09-03T21:10:00Z</dcterms:created>
  <dc:creator>Un-named</dc:creator>
</cp:coreProperties>
</file>