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1800"/>
        <w:gridCol w:w="1600"/>
        <w:gridCol w:w="3085"/>
        <w:tblGridChange w:id="0">
          <w:tblGrid>
            <w:gridCol w:w="4000"/>
            <w:gridCol w:w="1800"/>
            <w:gridCol w:w="1600"/>
            <w:gridCol w:w="3085"/>
          </w:tblGrid>
        </w:tblGridChange>
      </w:tblGrid>
      <w:tr>
        <w:trPr>
          <w:cantSplit w:val="1"/>
          <w:tblHeader w:val="1"/>
        </w:trPr>
        <w:tc>
          <w:tcPr>
            <w:vMerge w:val="restart"/>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2"/>
                <w:szCs w:val="22"/>
                <w:rtl w:val="0"/>
              </w:rPr>
              <w:t xml:space="preserve">PROCEDIMENTO OPERACIONAL PADRÃO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f0c040"/>
                <w:sz w:val="36"/>
                <w:szCs w:val="36"/>
                <w:rtl w:val="0"/>
              </w:rPr>
              <w:t xml:space="preserve">POP</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18"/>
                <w:szCs w:val="18"/>
                <w:rtl w:val="0"/>
              </w:rPr>
              <w:t xml:space="preserve">REVISÃO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VIGÊNCIA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18"/>
                <w:szCs w:val="18"/>
                <w:rtl w:val="0"/>
              </w:rPr>
              <w:t xml:space="preserve">PÁGINA</w:t>
            </w:r>
            <w:r w:rsidDel="00000000" w:rsidR="00000000" w:rsidRPr="00000000">
              <w:rPr>
                <w:rtl w:val="0"/>
              </w:rPr>
            </w:r>
          </w:p>
        </w:tc>
      </w:tr>
      <w:tr>
        <w:trPr>
          <w:cantSplit w:val="1"/>
          <w:tblHeader w:val="0"/>
        </w:trPr>
        <w:tc>
          <w:tcPr>
            <w:vMerge w:val="continue"/>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color w:val="000000"/>
                <w:sz w:val="19"/>
                <w:szCs w:val="19"/>
                <w:rtl w:val="0"/>
              </w:rPr>
              <w:t xml:space="preserve">0</w:t>
            </w: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sz w:val="19"/>
                <w:szCs w:val="19"/>
                <w:rtl w:val="0"/>
              </w:rPr>
              <w:t xml:space="preserve">02</w:t>
            </w:r>
            <w:r w:rsidDel="00000000" w:rsidR="00000000" w:rsidRPr="00000000">
              <w:rPr>
                <w:rFonts w:ascii="Arial" w:cs="Arial" w:eastAsia="Arial" w:hAnsi="Arial"/>
                <w:color w:val="000000"/>
                <w:sz w:val="19"/>
                <w:szCs w:val="19"/>
                <w:rtl w:val="0"/>
              </w:rPr>
              <w:t xml:space="preserve">/0</w:t>
            </w:r>
            <w:r w:rsidDel="00000000" w:rsidR="00000000" w:rsidRPr="00000000">
              <w:rPr>
                <w:rFonts w:ascii="Arial" w:cs="Arial" w:eastAsia="Arial" w:hAnsi="Arial"/>
                <w:sz w:val="19"/>
                <w:szCs w:val="19"/>
                <w:rtl w:val="0"/>
              </w:rPr>
              <w:t xml:space="preserve">9</w:t>
            </w:r>
            <w:r w:rsidDel="00000000" w:rsidR="00000000" w:rsidRPr="00000000">
              <w:rPr>
                <w:rFonts w:ascii="Arial" w:cs="Arial" w:eastAsia="Arial" w:hAnsi="Arial"/>
                <w:color w:val="000000"/>
                <w:sz w:val="19"/>
                <w:szCs w:val="19"/>
                <w:rtl w:val="0"/>
              </w:rPr>
              <w:t xml:space="preserve">/2026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color w:val="000000"/>
                <w:sz w:val="19"/>
                <w:szCs w:val="19"/>
                <w:rtl w:val="0"/>
              </w:rPr>
              <w:t xml:space="preserve">1 de </w:t>
            </w:r>
            <w:r w:rsidDel="00000000" w:rsidR="00000000" w:rsidRPr="00000000">
              <w:rPr>
                <w:rFonts w:ascii="Arial" w:cs="Arial" w:eastAsia="Arial" w:hAnsi="Arial"/>
                <w:sz w:val="19"/>
                <w:szCs w:val="19"/>
                <w:rtl w:val="0"/>
              </w:rPr>
              <w:t xml:space="preserve">8</w:t>
            </w:r>
            <w:r w:rsidDel="00000000" w:rsidR="00000000" w:rsidRPr="00000000">
              <w:rPr>
                <w:rtl w:val="0"/>
              </w:rPr>
            </w:r>
          </w:p>
        </w:tc>
      </w:tr>
    </w:tbl>
    <w:p w:rsidR="00000000" w:rsidDel="00000000" w:rsidP="00000000" w:rsidRDefault="00000000" w:rsidRPr="00000000" w14:paraId="0000000B">
      <w:pPr>
        <w:rPr>
          <w:sz w:val="10"/>
          <w:szCs w:val="10"/>
        </w:rPr>
      </w:pPr>
      <w:r w:rsidDel="00000000" w:rsidR="00000000" w:rsidRPr="00000000">
        <w:rPr>
          <w:rtl w:val="0"/>
        </w:rPr>
      </w:r>
    </w:p>
    <w:tbl>
      <w:tblPr>
        <w:tblStyle w:val="Table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d6e4f0" w:val="clear"/>
            <w:tcMar>
              <w:top w:w="120.0" w:type="dxa"/>
              <w:left w:w="160.0" w:type="dxa"/>
              <w:bottom w:w="120.0" w:type="dxa"/>
              <w:right w:w="160.0" w:type="dxa"/>
            </w:tcMar>
            <w:vAlign w:val="center"/>
          </w:tcPr>
          <w:p w:rsidR="00000000" w:rsidDel="00000000" w:rsidP="00000000" w:rsidRDefault="00000000" w:rsidRPr="00000000" w14:paraId="0000000C">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Empréstimo Pessoal – Liquidação Antecipada</w:t>
            </w:r>
          </w:p>
        </w:tc>
      </w:tr>
    </w:tbl>
    <w:p w:rsidR="00000000" w:rsidDel="00000000" w:rsidP="00000000" w:rsidRDefault="00000000" w:rsidRPr="00000000" w14:paraId="0000000D">
      <w:pPr>
        <w:rPr>
          <w:sz w:val="10"/>
          <w:szCs w:val="10"/>
        </w:rPr>
      </w:pPr>
      <w:r w:rsidDel="00000000" w:rsidR="00000000" w:rsidRPr="00000000">
        <w:rPr>
          <w:rtl w:val="0"/>
        </w:rPr>
      </w:r>
    </w:p>
    <w:tbl>
      <w:tblPr>
        <w:tblStyle w:val="Table3"/>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00"/>
        <w:gridCol w:w="1600"/>
        <w:gridCol w:w="2350"/>
        <w:gridCol w:w="2835"/>
        <w:tblGridChange w:id="0">
          <w:tblGrid>
            <w:gridCol w:w="1700"/>
            <w:gridCol w:w="2000"/>
            <w:gridCol w:w="1600"/>
            <w:gridCol w:w="2350"/>
            <w:gridCol w:w="283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18"/>
                <w:szCs w:val="18"/>
                <w:rtl w:val="0"/>
              </w:rPr>
              <w:t xml:space="preserve">ÁREA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18"/>
                <w:szCs w:val="18"/>
                <w:rtl w:val="0"/>
              </w:rPr>
              <w:t xml:space="preserve">ELABORADO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18"/>
                <w:szCs w:val="18"/>
                <w:rtl w:val="0"/>
              </w:rPr>
              <w:t xml:space="preserve">APROVADO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8"/>
                <w:szCs w:val="18"/>
                <w:rtl w:val="0"/>
              </w:rPr>
              <w:t xml:space="preserve">CLASSIFICAÇÃO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color w:val="000000"/>
                <w:sz w:val="19"/>
                <w:szCs w:val="19"/>
                <w:rtl w:val="0"/>
              </w:rPr>
              <w:t xml:space="preserve">Atendimento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sz w:val="19"/>
                <w:szCs w:val="19"/>
                <w:rtl w:val="0"/>
              </w:rPr>
              <w:t xml:space="preserve">Nathalia 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sz w:val="19"/>
                <w:szCs w:val="19"/>
                <w:rtl w:val="0"/>
              </w:rPr>
              <w:t xml:space="preserve">02/09/2026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color w:val="000000"/>
                <w:sz w:val="19"/>
                <w:szCs w:val="19"/>
                <w:rtl w:val="0"/>
              </w:rPr>
              <w:t xml:space="preserve">Uso Interno</w:t>
            </w:r>
            <w:r w:rsidDel="00000000" w:rsidR="00000000" w:rsidRPr="00000000">
              <w:rPr>
                <w:rtl w:val="0"/>
              </w:rPr>
            </w:r>
          </w:p>
        </w:tc>
      </w:tr>
    </w:tbl>
    <w:p w:rsidR="00000000" w:rsidDel="00000000" w:rsidP="00000000" w:rsidRDefault="00000000" w:rsidRPr="00000000" w14:paraId="00000018">
      <w:pPr>
        <w:rPr>
          <w:sz w:val="10"/>
          <w:szCs w:val="10"/>
        </w:rPr>
      </w:pPr>
      <w:r w:rsidDel="00000000" w:rsidR="00000000" w:rsidRPr="00000000">
        <w:rPr>
          <w:rtl w:val="0"/>
        </w:rPr>
      </w:r>
    </w:p>
    <w:p w:rsidR="00000000" w:rsidDel="00000000" w:rsidP="00000000" w:rsidRDefault="00000000" w:rsidRPr="00000000" w14:paraId="00000019">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1. OBJETIVO</w:t>
      </w:r>
      <w:r w:rsidDel="00000000" w:rsidR="00000000" w:rsidRPr="00000000">
        <w:rPr>
          <w:rtl w:val="0"/>
        </w:rPr>
      </w:r>
    </w:p>
    <w:p w:rsidR="00000000" w:rsidDel="00000000" w:rsidP="00000000" w:rsidRDefault="00000000" w:rsidRPr="00000000" w14:paraId="0000001A">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Estabelecer as diretrizes operacionais para atendimento de solicitações relacionadas à liquidação antecipada de contratos de Empréstimo Pessoal, incluindo consulta de saldo devedor, consulta de parcelas, orientação para contato com a Central de Pagamentos, amortização de parcelas antecipadas, quitação integral da operação e solicitação de Carta de Quitação.</w:t>
      </w:r>
    </w:p>
    <w:p w:rsidR="00000000" w:rsidDel="00000000" w:rsidP="00000000" w:rsidRDefault="00000000" w:rsidRPr="00000000" w14:paraId="0000001B">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 objetivo deste procedimento é garantir a padronização das orientações fornecidas aos clientes, a correta utilização das ferramentas disponíveis e o adequado direcionamento das demandas internas necessárias para conclusão das solicitações.</w:t>
      </w:r>
    </w:p>
    <w:p w:rsidR="00000000" w:rsidDel="00000000" w:rsidP="00000000" w:rsidRDefault="00000000" w:rsidRPr="00000000" w14:paraId="0000001C">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2. ESCOPO</w:t>
      </w:r>
      <w:r w:rsidDel="00000000" w:rsidR="00000000" w:rsidRPr="00000000">
        <w:rPr>
          <w:rtl w:val="0"/>
        </w:rPr>
      </w:r>
    </w:p>
    <w:p w:rsidR="00000000" w:rsidDel="00000000" w:rsidP="00000000" w:rsidRDefault="00000000" w:rsidRPr="00000000" w14:paraId="0000001D">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Este procedimento aplica-se aos atendimentos realizados pelos canais oficiais do Velotax relacionados às operações de Empréstimo Pessoal.</w:t>
      </w:r>
    </w:p>
    <w:p w:rsidR="00000000" w:rsidDel="00000000" w:rsidP="00000000" w:rsidRDefault="00000000" w:rsidRPr="00000000" w14:paraId="0000001E">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Abrange os seguintes cenários:</w:t>
      </w:r>
    </w:p>
    <w:p w:rsidR="00000000" w:rsidDel="00000000" w:rsidP="00000000" w:rsidRDefault="00000000" w:rsidRPr="00000000" w14:paraId="0000001F">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Consulta de saldo devedor da operação;</w:t>
      </w:r>
      <w:r w:rsidDel="00000000" w:rsidR="00000000" w:rsidRPr="00000000">
        <w:rPr>
          <w:rtl w:val="0"/>
        </w:rPr>
      </w:r>
    </w:p>
    <w:p w:rsidR="00000000" w:rsidDel="00000000" w:rsidP="00000000" w:rsidRDefault="00000000" w:rsidRPr="00000000" w14:paraId="00000020">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Consulta da situação contratual;</w:t>
      </w:r>
      <w:r w:rsidDel="00000000" w:rsidR="00000000" w:rsidRPr="00000000">
        <w:rPr>
          <w:rtl w:val="0"/>
        </w:rPr>
      </w:r>
    </w:p>
    <w:p w:rsidR="00000000" w:rsidDel="00000000" w:rsidP="00000000" w:rsidRDefault="00000000" w:rsidRPr="00000000" w14:paraId="00000021">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Consulta de parcelas quitadas, em aberto ou vencidas;</w:t>
      </w:r>
      <w:r w:rsidDel="00000000" w:rsidR="00000000" w:rsidRPr="00000000">
        <w:rPr>
          <w:rtl w:val="0"/>
        </w:rPr>
      </w:r>
    </w:p>
    <w:p w:rsidR="00000000" w:rsidDel="00000000" w:rsidP="00000000" w:rsidRDefault="00000000" w:rsidRPr="00000000" w14:paraId="00000022">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Consulta de informações da contratação;</w:t>
      </w:r>
      <w:r w:rsidDel="00000000" w:rsidR="00000000" w:rsidRPr="00000000">
        <w:rPr>
          <w:rtl w:val="0"/>
        </w:rPr>
      </w:r>
    </w:p>
    <w:p w:rsidR="00000000" w:rsidDel="00000000" w:rsidP="00000000" w:rsidRDefault="00000000" w:rsidRPr="00000000" w14:paraId="00000023">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Orientação para contato com a Central de Pagamentos;</w:t>
      </w:r>
      <w:r w:rsidDel="00000000" w:rsidR="00000000" w:rsidRPr="00000000">
        <w:rPr>
          <w:rtl w:val="0"/>
        </w:rPr>
      </w:r>
    </w:p>
    <w:p w:rsidR="00000000" w:rsidDel="00000000" w:rsidP="00000000" w:rsidRDefault="00000000" w:rsidRPr="00000000" w14:paraId="00000024">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Liquidação antecipada de parcelas;</w:t>
      </w:r>
      <w:r w:rsidDel="00000000" w:rsidR="00000000" w:rsidRPr="00000000">
        <w:rPr>
          <w:rtl w:val="0"/>
        </w:rPr>
      </w:r>
    </w:p>
    <w:p w:rsidR="00000000" w:rsidDel="00000000" w:rsidP="00000000" w:rsidRDefault="00000000" w:rsidRPr="00000000" w14:paraId="00000025">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Liquidação antecipada de múltiplas parcelas;</w:t>
      </w:r>
      <w:r w:rsidDel="00000000" w:rsidR="00000000" w:rsidRPr="00000000">
        <w:rPr>
          <w:rtl w:val="0"/>
        </w:rPr>
      </w:r>
    </w:p>
    <w:p w:rsidR="00000000" w:rsidDel="00000000" w:rsidP="00000000" w:rsidRDefault="00000000" w:rsidRPr="00000000" w14:paraId="00000026">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Quitação integral da operação;</w:t>
      </w:r>
      <w:r w:rsidDel="00000000" w:rsidR="00000000" w:rsidRPr="00000000">
        <w:rPr>
          <w:rtl w:val="0"/>
        </w:rPr>
      </w:r>
    </w:p>
    <w:p w:rsidR="00000000" w:rsidDel="00000000" w:rsidP="00000000" w:rsidRDefault="00000000" w:rsidRPr="00000000" w14:paraId="00000027">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Aplicação de descontos proporcionais por amortização;</w:t>
      </w:r>
      <w:r w:rsidDel="00000000" w:rsidR="00000000" w:rsidRPr="00000000">
        <w:rPr>
          <w:rtl w:val="0"/>
        </w:rPr>
      </w:r>
    </w:p>
    <w:p w:rsidR="00000000" w:rsidDel="00000000" w:rsidP="00000000" w:rsidRDefault="00000000" w:rsidRPr="00000000" w14:paraId="00000028">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Solicitação de Carta de Quitação;</w:t>
      </w:r>
      <w:r w:rsidDel="00000000" w:rsidR="00000000" w:rsidRPr="00000000">
        <w:rPr>
          <w:rtl w:val="0"/>
        </w:rPr>
      </w:r>
    </w:p>
    <w:p w:rsidR="00000000" w:rsidDel="00000000" w:rsidP="00000000" w:rsidRDefault="00000000" w:rsidRPr="00000000" w14:paraId="00000029">
      <w:pPr>
        <w:numPr>
          <w:ilvl w:val="0"/>
          <w:numId w:val="1"/>
        </w:numPr>
        <w:spacing w:after="80" w:before="80" w:lineRule="auto"/>
        <w:ind w:left="720" w:hanging="360"/>
        <w:rPr/>
      </w:pPr>
      <w:r w:rsidDel="00000000" w:rsidR="00000000" w:rsidRPr="00000000">
        <w:rPr>
          <w:rFonts w:ascii="Arial" w:cs="Arial" w:eastAsia="Arial" w:hAnsi="Arial"/>
          <w:sz w:val="19"/>
          <w:szCs w:val="19"/>
          <w:rtl w:val="0"/>
        </w:rPr>
        <w:t xml:space="preserve">Solicitação de emissão de link de pagamento em caráter contingencial.</w:t>
      </w:r>
      <w:r w:rsidDel="00000000" w:rsidR="00000000" w:rsidRPr="00000000">
        <w:rPr>
          <w:rtl w:val="0"/>
        </w:rPr>
      </w:r>
    </w:p>
    <w:p w:rsidR="00000000" w:rsidDel="00000000" w:rsidP="00000000" w:rsidRDefault="00000000" w:rsidRPr="00000000" w14:paraId="0000002A">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Não fazem parte do escopo deste procedimento:</w:t>
      </w:r>
    </w:p>
    <w:p w:rsidR="00000000" w:rsidDel="00000000" w:rsidP="00000000" w:rsidRDefault="00000000" w:rsidRPr="00000000" w14:paraId="0000002B">
      <w:pPr>
        <w:numPr>
          <w:ilvl w:val="0"/>
          <w:numId w:val="2"/>
        </w:numPr>
        <w:spacing w:after="80" w:before="80" w:lineRule="auto"/>
        <w:ind w:left="720" w:hanging="360"/>
        <w:rPr/>
      </w:pPr>
      <w:r w:rsidDel="00000000" w:rsidR="00000000" w:rsidRPr="00000000">
        <w:rPr>
          <w:rFonts w:ascii="Arial" w:cs="Arial" w:eastAsia="Arial" w:hAnsi="Arial"/>
          <w:sz w:val="19"/>
          <w:szCs w:val="19"/>
          <w:rtl w:val="0"/>
        </w:rPr>
        <w:t xml:space="preserve">Concessão de descontos manuais;</w:t>
      </w:r>
      <w:r w:rsidDel="00000000" w:rsidR="00000000" w:rsidRPr="00000000">
        <w:rPr>
          <w:rtl w:val="0"/>
        </w:rPr>
      </w:r>
    </w:p>
    <w:p w:rsidR="00000000" w:rsidDel="00000000" w:rsidP="00000000" w:rsidRDefault="00000000" w:rsidRPr="00000000" w14:paraId="0000002C">
      <w:pPr>
        <w:numPr>
          <w:ilvl w:val="0"/>
          <w:numId w:val="2"/>
        </w:numPr>
        <w:spacing w:after="80" w:before="80" w:lineRule="auto"/>
        <w:ind w:left="720" w:hanging="360"/>
        <w:rPr/>
      </w:pPr>
      <w:r w:rsidDel="00000000" w:rsidR="00000000" w:rsidRPr="00000000">
        <w:rPr>
          <w:rFonts w:ascii="Arial" w:cs="Arial" w:eastAsia="Arial" w:hAnsi="Arial"/>
          <w:sz w:val="19"/>
          <w:szCs w:val="19"/>
          <w:rtl w:val="0"/>
        </w:rPr>
        <w:t xml:space="preserve">Alteração de condições contratuais;</w:t>
      </w:r>
      <w:r w:rsidDel="00000000" w:rsidR="00000000" w:rsidRPr="00000000">
        <w:rPr>
          <w:rtl w:val="0"/>
        </w:rPr>
      </w:r>
    </w:p>
    <w:p w:rsidR="00000000" w:rsidDel="00000000" w:rsidP="00000000" w:rsidRDefault="00000000" w:rsidRPr="00000000" w14:paraId="0000002D">
      <w:pPr>
        <w:numPr>
          <w:ilvl w:val="0"/>
          <w:numId w:val="2"/>
        </w:numPr>
        <w:spacing w:after="80" w:before="80" w:lineRule="auto"/>
        <w:ind w:left="720" w:hanging="360"/>
        <w:rPr/>
      </w:pPr>
      <w:r w:rsidDel="00000000" w:rsidR="00000000" w:rsidRPr="00000000">
        <w:rPr>
          <w:rFonts w:ascii="Arial" w:cs="Arial" w:eastAsia="Arial" w:hAnsi="Arial"/>
          <w:sz w:val="19"/>
          <w:szCs w:val="19"/>
          <w:rtl w:val="0"/>
        </w:rPr>
        <w:t xml:space="preserve">Renegociação de contratos;</w:t>
      </w:r>
      <w:r w:rsidDel="00000000" w:rsidR="00000000" w:rsidRPr="00000000">
        <w:rPr>
          <w:rtl w:val="0"/>
        </w:rPr>
      </w:r>
    </w:p>
    <w:p w:rsidR="00000000" w:rsidDel="00000000" w:rsidP="00000000" w:rsidRDefault="00000000" w:rsidRPr="00000000" w14:paraId="0000002E">
      <w:pPr>
        <w:numPr>
          <w:ilvl w:val="0"/>
          <w:numId w:val="2"/>
        </w:numPr>
        <w:spacing w:after="80" w:before="80" w:lineRule="auto"/>
        <w:ind w:left="720" w:hanging="360"/>
        <w:rPr/>
      </w:pPr>
      <w:r w:rsidDel="00000000" w:rsidR="00000000" w:rsidRPr="00000000">
        <w:rPr>
          <w:rFonts w:ascii="Arial" w:cs="Arial" w:eastAsia="Arial" w:hAnsi="Arial"/>
          <w:sz w:val="19"/>
          <w:szCs w:val="19"/>
          <w:rtl w:val="0"/>
        </w:rPr>
        <w:t xml:space="preserve">Formalização de acordos financeiros;</w:t>
      </w:r>
      <w:r w:rsidDel="00000000" w:rsidR="00000000" w:rsidRPr="00000000">
        <w:rPr>
          <w:rtl w:val="0"/>
        </w:rPr>
      </w:r>
    </w:p>
    <w:p w:rsidR="00000000" w:rsidDel="00000000" w:rsidP="00000000" w:rsidRDefault="00000000" w:rsidRPr="00000000" w14:paraId="0000002F">
      <w:pPr>
        <w:numPr>
          <w:ilvl w:val="0"/>
          <w:numId w:val="2"/>
        </w:numPr>
        <w:spacing w:after="80" w:before="80" w:lineRule="auto"/>
        <w:ind w:left="720" w:hanging="360"/>
        <w:rPr/>
      </w:pPr>
      <w:r w:rsidDel="00000000" w:rsidR="00000000" w:rsidRPr="00000000">
        <w:rPr>
          <w:rFonts w:ascii="Arial" w:cs="Arial" w:eastAsia="Arial" w:hAnsi="Arial"/>
          <w:sz w:val="19"/>
          <w:szCs w:val="19"/>
          <w:rtl w:val="0"/>
        </w:rPr>
        <w:t xml:space="preserve">Cobrança ativa;</w:t>
      </w:r>
      <w:r w:rsidDel="00000000" w:rsidR="00000000" w:rsidRPr="00000000">
        <w:rPr>
          <w:rtl w:val="0"/>
        </w:rPr>
      </w:r>
    </w:p>
    <w:p w:rsidR="00000000" w:rsidDel="00000000" w:rsidP="00000000" w:rsidRDefault="00000000" w:rsidRPr="00000000" w14:paraId="00000030">
      <w:pPr>
        <w:numPr>
          <w:ilvl w:val="0"/>
          <w:numId w:val="2"/>
        </w:numPr>
        <w:spacing w:after="80" w:before="80" w:lineRule="auto"/>
        <w:ind w:left="720" w:hanging="360"/>
        <w:rPr/>
      </w:pPr>
      <w:r w:rsidDel="00000000" w:rsidR="00000000" w:rsidRPr="00000000">
        <w:rPr>
          <w:rFonts w:ascii="Arial" w:cs="Arial" w:eastAsia="Arial" w:hAnsi="Arial"/>
          <w:sz w:val="19"/>
          <w:szCs w:val="19"/>
          <w:rtl w:val="0"/>
        </w:rPr>
        <w:t xml:space="preserve">Parcelamento de débitos;</w:t>
      </w:r>
      <w:r w:rsidDel="00000000" w:rsidR="00000000" w:rsidRPr="00000000">
        <w:rPr>
          <w:rtl w:val="0"/>
        </w:rPr>
      </w:r>
    </w:p>
    <w:p w:rsidR="00000000" w:rsidDel="00000000" w:rsidP="00000000" w:rsidRDefault="00000000" w:rsidRPr="00000000" w14:paraId="00000031">
      <w:pPr>
        <w:numPr>
          <w:ilvl w:val="0"/>
          <w:numId w:val="2"/>
        </w:numPr>
        <w:spacing w:after="80" w:before="80" w:lineRule="auto"/>
        <w:ind w:left="720" w:hanging="360"/>
        <w:rPr/>
      </w:pPr>
      <w:r w:rsidDel="00000000" w:rsidR="00000000" w:rsidRPr="00000000">
        <w:rPr>
          <w:rFonts w:ascii="Arial" w:cs="Arial" w:eastAsia="Arial" w:hAnsi="Arial"/>
          <w:sz w:val="19"/>
          <w:szCs w:val="19"/>
          <w:rtl w:val="0"/>
        </w:rPr>
        <w:t xml:space="preserve">Definição manual de valores para liquidação;</w:t>
      </w:r>
      <w:r w:rsidDel="00000000" w:rsidR="00000000" w:rsidRPr="00000000">
        <w:rPr>
          <w:rtl w:val="0"/>
        </w:rPr>
      </w:r>
    </w:p>
    <w:p w:rsidR="00000000" w:rsidDel="00000000" w:rsidP="00000000" w:rsidRDefault="00000000" w:rsidRPr="00000000" w14:paraId="00000032">
      <w:pPr>
        <w:numPr>
          <w:ilvl w:val="0"/>
          <w:numId w:val="2"/>
        </w:numPr>
        <w:spacing w:after="80" w:before="80" w:lineRule="auto"/>
        <w:ind w:left="720" w:hanging="360"/>
        <w:rPr/>
      </w:pPr>
      <w:r w:rsidDel="00000000" w:rsidR="00000000" w:rsidRPr="00000000">
        <w:rPr>
          <w:rFonts w:ascii="Arial" w:cs="Arial" w:eastAsia="Arial" w:hAnsi="Arial"/>
          <w:sz w:val="19"/>
          <w:szCs w:val="19"/>
          <w:rtl w:val="0"/>
        </w:rPr>
        <w:t xml:space="preserve">Cálculo manual de amortização ou descontos.</w:t>
      </w:r>
      <w:r w:rsidDel="00000000" w:rsidR="00000000" w:rsidRPr="00000000">
        <w:rPr>
          <w:rtl w:val="0"/>
        </w:rPr>
      </w:r>
    </w:p>
    <w:p w:rsidR="00000000" w:rsidDel="00000000" w:rsidP="00000000" w:rsidRDefault="00000000" w:rsidRPr="00000000" w14:paraId="00000033">
      <w:pPr>
        <w:spacing w:after="80" w:before="8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4">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3. DEFINIÇÕES E SIGLAS</w:t>
      </w:r>
      <w:r w:rsidDel="00000000" w:rsidR="00000000" w:rsidRPr="00000000">
        <w:rPr>
          <w:rtl w:val="0"/>
        </w:rPr>
      </w:r>
    </w:p>
    <w:p w:rsidR="00000000" w:rsidDel="00000000" w:rsidP="00000000" w:rsidRDefault="00000000" w:rsidRPr="00000000" w14:paraId="00000035">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Empréstimo Pessoal:</w:t>
      </w:r>
      <w:r w:rsidDel="00000000" w:rsidR="00000000" w:rsidRPr="00000000">
        <w:rPr>
          <w:rFonts w:ascii="Arial" w:cs="Arial" w:eastAsia="Arial" w:hAnsi="Arial"/>
          <w:sz w:val="19"/>
          <w:szCs w:val="19"/>
          <w:rtl w:val="0"/>
        </w:rPr>
        <w:t xml:space="preserve"> Operação de crédito contratada pelo cliente mediante pagamento parcelado conforme condições estabelecidas na Cédula de Crédito Bancário (CCB).</w:t>
      </w:r>
    </w:p>
    <w:p w:rsidR="00000000" w:rsidDel="00000000" w:rsidP="00000000" w:rsidRDefault="00000000" w:rsidRPr="00000000" w14:paraId="00000036">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Liquidação Antecipada:</w:t>
      </w:r>
      <w:r w:rsidDel="00000000" w:rsidR="00000000" w:rsidRPr="00000000">
        <w:rPr>
          <w:rFonts w:ascii="Arial" w:cs="Arial" w:eastAsia="Arial" w:hAnsi="Arial"/>
          <w:sz w:val="19"/>
          <w:szCs w:val="19"/>
          <w:rtl w:val="0"/>
        </w:rPr>
        <w:t xml:space="preserve"> Pagamento realizado antes da data originalmente prevista para vencimento de uma ou mais parcelas da operação.</w:t>
      </w:r>
    </w:p>
    <w:p w:rsidR="00000000" w:rsidDel="00000000" w:rsidP="00000000" w:rsidRDefault="00000000" w:rsidRPr="00000000" w14:paraId="00000037">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Quitação Integral:</w:t>
      </w:r>
      <w:r w:rsidDel="00000000" w:rsidR="00000000" w:rsidRPr="00000000">
        <w:rPr>
          <w:rFonts w:ascii="Arial" w:cs="Arial" w:eastAsia="Arial" w:hAnsi="Arial"/>
          <w:sz w:val="19"/>
          <w:szCs w:val="19"/>
          <w:rtl w:val="0"/>
        </w:rPr>
        <w:t xml:space="preserve"> Pagamento do saldo devedor total da operação, resultando no encerramento do contrato.</w:t>
      </w:r>
    </w:p>
    <w:p w:rsidR="00000000" w:rsidDel="00000000" w:rsidP="00000000" w:rsidRDefault="00000000" w:rsidRPr="00000000" w14:paraId="00000038">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Amortização:</w:t>
      </w:r>
      <w:r w:rsidDel="00000000" w:rsidR="00000000" w:rsidRPr="00000000">
        <w:rPr>
          <w:rFonts w:ascii="Arial" w:cs="Arial" w:eastAsia="Arial" w:hAnsi="Arial"/>
          <w:sz w:val="19"/>
          <w:szCs w:val="19"/>
          <w:rtl w:val="0"/>
        </w:rPr>
        <w:t xml:space="preserve"> Desconto proporcional dos juros e encargos futuros aplicável exclusivamente às parcelas antecipadas ou ao saldo remanescente da operação em caso de quitação integral, sem alteração do cronograma original de vencimentos.</w:t>
      </w:r>
    </w:p>
    <w:p w:rsidR="00000000" w:rsidDel="00000000" w:rsidP="00000000" w:rsidRDefault="00000000" w:rsidRPr="00000000" w14:paraId="00000039">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Parcela em Aberto:</w:t>
      </w:r>
      <w:r w:rsidDel="00000000" w:rsidR="00000000" w:rsidRPr="00000000">
        <w:rPr>
          <w:rFonts w:ascii="Arial" w:cs="Arial" w:eastAsia="Arial" w:hAnsi="Arial"/>
          <w:sz w:val="19"/>
          <w:szCs w:val="19"/>
          <w:rtl w:val="0"/>
        </w:rPr>
        <w:t xml:space="preserve"> Parcela ainda não liquidada e dentro do prazo contratual de vencimento.</w:t>
      </w:r>
    </w:p>
    <w:p w:rsidR="00000000" w:rsidDel="00000000" w:rsidP="00000000" w:rsidRDefault="00000000" w:rsidRPr="00000000" w14:paraId="0000003A">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Parcela Vencida:</w:t>
      </w:r>
      <w:r w:rsidDel="00000000" w:rsidR="00000000" w:rsidRPr="00000000">
        <w:rPr>
          <w:rFonts w:ascii="Arial" w:cs="Arial" w:eastAsia="Arial" w:hAnsi="Arial"/>
          <w:sz w:val="19"/>
          <w:szCs w:val="19"/>
          <w:rtl w:val="0"/>
        </w:rPr>
        <w:t xml:space="preserve"> Parcela cujo vencimento ocorreu sem a identificação do respectivo pagamento.</w:t>
      </w:r>
    </w:p>
    <w:p w:rsidR="00000000" w:rsidDel="00000000" w:rsidP="00000000" w:rsidRDefault="00000000" w:rsidRPr="00000000" w14:paraId="0000003B">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Saldo Devedor:</w:t>
      </w:r>
      <w:r w:rsidDel="00000000" w:rsidR="00000000" w:rsidRPr="00000000">
        <w:rPr>
          <w:rFonts w:ascii="Arial" w:cs="Arial" w:eastAsia="Arial" w:hAnsi="Arial"/>
          <w:sz w:val="19"/>
          <w:szCs w:val="19"/>
          <w:rtl w:val="0"/>
        </w:rPr>
        <w:t xml:space="preserve"> Valor pendente da operação, sujeito a atualização conforme data de pagamento e regras financeiras aplicáveis.</w:t>
      </w:r>
    </w:p>
    <w:p w:rsidR="00000000" w:rsidDel="00000000" w:rsidP="00000000" w:rsidRDefault="00000000" w:rsidRPr="00000000" w14:paraId="0000003C">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Central de Pagamentos:</w:t>
      </w:r>
      <w:sdt>
        <w:sdtPr>
          <w:id w:val="-943710307"/>
          <w:tag w:val="goog_rdk_0"/>
        </w:sdtPr>
        <w:sdtContent>
          <w:r w:rsidDel="00000000" w:rsidR="00000000" w:rsidRPr="00000000">
            <w:rPr>
              <w:rFonts w:ascii="Arial Unicode MS" w:cs="Arial Unicode MS" w:eastAsia="Arial Unicode MS" w:hAnsi="Arial Unicode MS"/>
              <w:sz w:val="19"/>
              <w:szCs w:val="19"/>
              <w:rtl w:val="0"/>
            </w:rPr>
            <w:t xml:space="preserve"> Canal exclusivo via WhatsApp — (11) 5028-2521 — responsável pela consulta de valores atualizados, geração de Pix, emissão de boleto, amortização de parcelas antecipadas e quitação da operação. O aplicativo (Menu ☰ → Documentos → "Em andamento"/"Quitados") permite apenas consultar as parcelas.</w:t>
          </w:r>
        </w:sdtContent>
      </w:sdt>
    </w:p>
    <w:p w:rsidR="00000000" w:rsidDel="00000000" w:rsidP="00000000" w:rsidRDefault="00000000" w:rsidRPr="00000000" w14:paraId="0000003D">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Carta de Quitação:</w:t>
      </w:r>
      <w:r w:rsidDel="00000000" w:rsidR="00000000" w:rsidRPr="00000000">
        <w:rPr>
          <w:rFonts w:ascii="Arial" w:cs="Arial" w:eastAsia="Arial" w:hAnsi="Arial"/>
          <w:sz w:val="19"/>
          <w:szCs w:val="19"/>
          <w:rtl w:val="0"/>
        </w:rPr>
        <w:t xml:space="preserve"> Documento emitido mediante solicitação do cliente após a quitação integral da operação, contendo a formalização da inexistência de débitos vinculados ao contrato.</w:t>
      </w:r>
    </w:p>
    <w:p w:rsidR="00000000" w:rsidDel="00000000" w:rsidP="00000000" w:rsidRDefault="00000000" w:rsidRPr="00000000" w14:paraId="0000003E">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CRM (Customer Relationship Management):</w:t>
      </w:r>
      <w:r w:rsidDel="00000000" w:rsidR="00000000" w:rsidRPr="00000000">
        <w:rPr>
          <w:rFonts w:ascii="Arial" w:cs="Arial" w:eastAsia="Arial" w:hAnsi="Arial"/>
          <w:sz w:val="19"/>
          <w:szCs w:val="19"/>
          <w:rtl w:val="0"/>
        </w:rPr>
        <w:t xml:space="preserve"> Sistema utilizado para consulta de informações contratuais, financeiras e histórico de atendimento do cliente.</w:t>
      </w:r>
    </w:p>
    <w:p w:rsidR="00000000" w:rsidDel="00000000" w:rsidP="00000000" w:rsidRDefault="00000000" w:rsidRPr="00000000" w14:paraId="0000003F">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Suporte de Atendimento:</w:t>
      </w:r>
      <w:r w:rsidDel="00000000" w:rsidR="00000000" w:rsidRPr="00000000">
        <w:rPr>
          <w:rFonts w:ascii="Arial" w:cs="Arial" w:eastAsia="Arial" w:hAnsi="Arial"/>
          <w:sz w:val="19"/>
          <w:szCs w:val="19"/>
          <w:rtl w:val="0"/>
        </w:rPr>
        <w:t xml:space="preserve"> Área responsável por tratativas operacionais internas e emissão de Carta de Quitação.</w:t>
      </w:r>
    </w:p>
    <w:p w:rsidR="00000000" w:rsidDel="00000000" w:rsidP="00000000" w:rsidRDefault="00000000" w:rsidRPr="00000000" w14:paraId="00000040">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Equipe de Cobrança: Área responsável pela emissão excepcional de links de pagamento, acionada por meio do canal de contato da equipe de pagamentos disponibilizado ao cliente.</w:t>
      </w:r>
      <w:r w:rsidDel="00000000" w:rsidR="00000000" w:rsidRPr="00000000">
        <w:rPr>
          <w:rtl w:val="0"/>
        </w:rPr>
      </w:r>
    </w:p>
    <w:p w:rsidR="00000000" w:rsidDel="00000000" w:rsidP="00000000" w:rsidRDefault="00000000" w:rsidRPr="00000000" w14:paraId="00000041">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4. RESPONSABILIDADES</w:t>
      </w:r>
      <w:r w:rsidDel="00000000" w:rsidR="00000000" w:rsidRPr="00000000">
        <w:rPr>
          <w:rtl w:val="0"/>
        </w:rPr>
      </w:r>
    </w:p>
    <w:tbl>
      <w:tblPr>
        <w:tblStyle w:val="Table4"/>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985"/>
        <w:tblGridChange w:id="0">
          <w:tblGrid>
            <w:gridCol w:w="2500"/>
            <w:gridCol w:w="798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PAPEL</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8"/>
                <w:szCs w:val="18"/>
                <w:rtl w:val="0"/>
              </w:rPr>
              <w:t xml:space="preserve">RESPONSABILIDADE</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000000"/>
                <w:sz w:val="19"/>
                <w:szCs w:val="19"/>
                <w:rtl w:val="0"/>
              </w:rPr>
              <w:t xml:space="preserve">Atendente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color w:val="000000"/>
                <w:sz w:val="19"/>
                <w:szCs w:val="19"/>
                <w:rtl w:val="0"/>
              </w:rPr>
              <w:t xml:space="preserve">Identificar a solicitação, consultar informações da operação, orientar o cliente sobre liquidação antecipada, consulta de parcelas, consulta de saldo devedor, contato com a Central de Pagamentos, registrar o atendimento e realizar os acionamentos internos previstos neste procedimento.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Arial" w:cs="Arial" w:eastAsia="Arial" w:hAnsi="Arial"/>
                <w:b w:val="1"/>
                <w:bCs w:val="1"/>
                <w:color w:val="000000"/>
                <w:sz w:val="19"/>
                <w:szCs w:val="19"/>
              </w:rPr>
            </w:pPr>
            <w:r w:rsidDel="00000000" w:rsidR="00000000" w:rsidRPr="00000000">
              <w:rPr>
                <w:rFonts w:ascii="Arial" w:cs="Arial" w:eastAsia="Arial" w:hAnsi="Arial"/>
                <w:b w:val="1"/>
                <w:bCs w:val="1"/>
                <w:color w:val="000000"/>
                <w:sz w:val="19"/>
                <w:szCs w:val="19"/>
                <w:rtl w:val="0"/>
              </w:rPr>
              <w:t xml:space="preserve">Equipe de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Emitir links de pagamento em caráter contingencial quando acionada pelos fluxos internos definidos neste procedimento.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rFonts w:ascii="Arial" w:cs="Arial" w:eastAsia="Arial" w:hAnsi="Arial"/>
                <w:b w:val="1"/>
                <w:bCs w:val="1"/>
                <w:color w:val="000000"/>
                <w:sz w:val="19"/>
                <w:szCs w:val="19"/>
              </w:rPr>
            </w:pPr>
            <w:r w:rsidDel="00000000" w:rsidR="00000000" w:rsidRPr="00000000">
              <w:rPr>
                <w:rFonts w:ascii="Arial" w:cs="Arial" w:eastAsia="Arial" w:hAnsi="Arial"/>
                <w:b w:val="1"/>
                <w:bCs w:val="1"/>
                <w:color w:val="000000"/>
                <w:sz w:val="19"/>
                <w:szCs w:val="19"/>
                <w:rtl w:val="0"/>
              </w:rPr>
              <w:t xml:space="preserve">Suporte de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Receber e tratar solicitações relacionadas à emissão de Carta de Quitação e realizar tratativas operacionais internas. </w:t>
            </w:r>
          </w:p>
        </w:tc>
      </w:tr>
    </w:tbl>
    <w:p w:rsidR="00000000" w:rsidDel="00000000" w:rsidP="00000000" w:rsidRDefault="00000000" w:rsidRPr="00000000" w14:paraId="0000004A">
      <w:pPr>
        <w:rPr>
          <w:sz w:val="10"/>
          <w:szCs w:val="10"/>
        </w:rPr>
      </w:pPr>
      <w:r w:rsidDel="00000000" w:rsidR="00000000" w:rsidRPr="00000000">
        <w:rPr>
          <w:rtl w:val="0"/>
        </w:rPr>
      </w:r>
    </w:p>
    <w:p w:rsidR="00000000" w:rsidDel="00000000" w:rsidP="00000000" w:rsidRDefault="00000000" w:rsidRPr="00000000" w14:paraId="0000004B">
      <w:pPr>
        <w:shd w:fill="2e5fac" w:val="clear"/>
        <w:spacing w:before="200" w:lineRule="auto"/>
        <w:ind w:left="120" w:firstLine="0"/>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5. FLUXO DE ATENDIMENTO</w:t>
      </w:r>
      <w:r w:rsidDel="00000000" w:rsidR="00000000" w:rsidRPr="00000000">
        <w:rPr>
          <w:rtl w:val="0"/>
        </w:rPr>
      </w:r>
    </w:p>
    <w:tbl>
      <w:tblPr>
        <w:tblStyle w:val="Table5"/>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6590"/>
        <w:gridCol w:w="2977"/>
        <w:tblGridChange w:id="0">
          <w:tblGrid>
            <w:gridCol w:w="918"/>
            <w:gridCol w:w="6590"/>
            <w:gridCol w:w="2977"/>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C">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ETAPA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D">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ATIVIDADE / DECISÃO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E">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RESPONSÁVEL | PRAZO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Receber o contato do cliente e identificar a solicitação relacionada ao Empréstimo Pessoal.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Atendente/Imediato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as informações da operação no CRM.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bl>
            <w:tblPr>
              <w:tblStyle w:val="Table6"/>
              <w:tblW w:w="110.0" w:type="dxa"/>
              <w:jc w:val="left"/>
              <w:tblLayout w:type="fixed"/>
              <w:tblLook w:val="0400"/>
            </w:tblPr>
            <w:tblGrid>
              <w:gridCol w:w="110"/>
              <w:tblGridChange w:id="0">
                <w:tblGrid>
                  <w:gridCol w:w="110"/>
                </w:tblGrid>
              </w:tblGridChange>
            </w:tblGrid>
            <w:tr>
              <w:trPr>
                <w:cantSplit w:val="1"/>
                <w:tblHeader w:val="0"/>
              </w:trPr>
              <w:tc>
                <w:tcPr>
                  <w:vAlign w:val="center"/>
                </w:tcPr>
                <w:p w:rsidR="00000000" w:rsidDel="00000000" w:rsidP="00000000" w:rsidRDefault="00000000" w:rsidRPr="00000000" w14:paraId="00000057">
                  <w:pPr>
                    <w:spacing w:after="30" w:before="30" w:lineRule="auto"/>
                    <w:rPr>
                      <w:rFonts w:ascii="Arial" w:cs="Arial" w:eastAsia="Arial" w:hAnsi="Arial"/>
                      <w:sz w:val="19"/>
                      <w:szCs w:val="19"/>
                    </w:rPr>
                  </w:pPr>
                  <w:r w:rsidDel="00000000" w:rsidR="00000000" w:rsidRPr="00000000">
                    <w:rPr>
                      <w:rtl w:val="0"/>
                    </w:rPr>
                  </w:r>
                </w:p>
              </w:tc>
            </w:tr>
          </w:tb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bl>
            <w:tblPr>
              <w:tblStyle w:val="Table7"/>
              <w:tblW w:w="3229.0" w:type="dxa"/>
              <w:jc w:val="left"/>
              <w:tblLayout w:type="fixed"/>
              <w:tblLook w:val="0400"/>
            </w:tblPr>
            <w:tblGrid>
              <w:gridCol w:w="3229"/>
              <w:tblGridChange w:id="0">
                <w:tblGrid>
                  <w:gridCol w:w="3229"/>
                </w:tblGrid>
              </w:tblGridChange>
            </w:tblGrid>
            <w:tr>
              <w:trPr>
                <w:cantSplit w:val="1"/>
                <w:tblHeader w:val="0"/>
              </w:trPr>
              <w:tc>
                <w:tcPr>
                  <w:vAlign w:val="center"/>
                </w:tcPr>
                <w:p w:rsidR="00000000" w:rsidDel="00000000" w:rsidP="00000000" w:rsidRDefault="00000000" w:rsidRPr="00000000" w14:paraId="0000005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operação encontra-se quitada? </w:t>
                    <w:br w:type="textWrapping"/>
                    <w:t xml:space="preserve">• Sim: Prosseguir para etapa 4. </w:t>
                    <w:br w:type="textWrapping"/>
                    <w:t xml:space="preserve">• Não: Prosseguir para etapa 6.</w:t>
                  </w:r>
                </w:p>
              </w:tc>
            </w:tr>
          </w:tbl>
          <w:p w:rsidR="00000000" w:rsidDel="00000000" w:rsidP="00000000" w:rsidRDefault="00000000" w:rsidRPr="00000000" w14:paraId="0000005A">
            <w:pPr>
              <w:spacing w:after="30" w:before="30" w:lineRule="auto"/>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Atendente/Imediato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bl>
            <w:tblPr>
              <w:tblStyle w:val="Table8"/>
              <w:tblW w:w="110.0" w:type="dxa"/>
              <w:jc w:val="left"/>
              <w:tblLayout w:type="fixed"/>
              <w:tblLook w:val="0400"/>
            </w:tblPr>
            <w:tblGrid>
              <w:gridCol w:w="110"/>
              <w:tblGridChange w:id="0">
                <w:tblGrid>
                  <w:gridCol w:w="110"/>
                </w:tblGrid>
              </w:tblGridChange>
            </w:tblGrid>
            <w:tr>
              <w:trPr>
                <w:cantSplit w:val="1"/>
                <w:tblHeader w:val="0"/>
              </w:trPr>
              <w:tc>
                <w:tcPr>
                  <w:vAlign w:val="center"/>
                </w:tcPr>
                <w:p w:rsidR="00000000" w:rsidDel="00000000" w:rsidP="00000000" w:rsidRDefault="00000000" w:rsidRPr="00000000" w14:paraId="0000005E">
                  <w:pPr>
                    <w:spacing w:after="30" w:before="30" w:lineRule="auto"/>
                    <w:rPr>
                      <w:rFonts w:ascii="Arial" w:cs="Arial" w:eastAsia="Arial" w:hAnsi="Arial"/>
                      <w:sz w:val="19"/>
                      <w:szCs w:val="19"/>
                    </w:rPr>
                  </w:pPr>
                  <w:r w:rsidDel="00000000" w:rsidR="00000000" w:rsidRPr="00000000">
                    <w:rPr>
                      <w:rtl w:val="0"/>
                    </w:rPr>
                  </w:r>
                </w:p>
              </w:tc>
            </w:tr>
          </w:tb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bl>
            <w:tblPr>
              <w:tblStyle w:val="Table9"/>
              <w:tblW w:w="6382.0" w:type="dxa"/>
              <w:jc w:val="left"/>
              <w:tblLayout w:type="fixed"/>
              <w:tblLook w:val="0400"/>
            </w:tblPr>
            <w:tblGrid>
              <w:gridCol w:w="6382"/>
              <w:tblGridChange w:id="0">
                <w:tblGrid>
                  <w:gridCol w:w="6382"/>
                </w:tblGrid>
              </w:tblGridChange>
            </w:tblGrid>
            <w:tr>
              <w:trPr>
                <w:cantSplit w:val="1"/>
                <w:trHeight w:val="1172" w:hRule="atLeast"/>
                <w:tblHeader w:val="0"/>
              </w:trPr>
              <w:tc>
                <w:tcPr>
                  <w:vAlign w:val="center"/>
                </w:tcPr>
                <w:p w:rsidR="00000000" w:rsidDel="00000000" w:rsidP="00000000" w:rsidRDefault="00000000" w:rsidRPr="00000000" w14:paraId="0000006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solicitação está relacionada à Carta de Quitação? </w:t>
                    <w:br w:type="textWrapping"/>
                    <w:t xml:space="preserve">• Sim: Prosseguir para etapa 5. </w:t>
                    <w:br w:type="textWrapping"/>
                    <w:t xml:space="preserve">• Não: Prosseguir para etapa 6.</w:t>
                  </w:r>
                </w:p>
              </w:tc>
            </w:tr>
          </w:tbl>
          <w:p w:rsidR="00000000" w:rsidDel="00000000" w:rsidP="00000000" w:rsidRDefault="00000000" w:rsidRPr="00000000" w14:paraId="00000061">
            <w:pPr>
              <w:spacing w:after="30" w:before="30" w:lineRule="auto"/>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Atendente/Imediato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solicitação para o Suporte de Atendimento emitir a Carta de Quitação, informar ao cliente que a solicitação foi encaminhada e o prazo para o envio é de 24 horas. Encerrar atendimento com a tabulação: Produto: Empréstimo Pessoal &gt; Motivo: Pagamento &gt; Detalhe: Quitação do Contrato.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Suporte/24 Horas.</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solicitação está relacionada à consulta de informações da operação?</w:t>
            </w:r>
          </w:p>
          <w:p w:rsidR="00000000" w:rsidDel="00000000" w:rsidP="00000000" w:rsidRDefault="00000000" w:rsidRPr="00000000" w14:paraId="00000068">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Exemplos: saldo devedor, parcelas quitadas, parcelas em aberto, parcelas vencidas, valor do contrato, situação contratual ou dados da contratação.</w:t>
            </w:r>
          </w:p>
          <w:p w:rsidR="00000000" w:rsidDel="00000000" w:rsidP="00000000" w:rsidRDefault="00000000" w:rsidRPr="00000000" w14:paraId="0000006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Sim: Prosseguir para etapa 7.</w:t>
            </w:r>
          </w:p>
          <w:p w:rsidR="00000000" w:rsidDel="00000000" w:rsidP="00000000" w:rsidRDefault="00000000" w:rsidRPr="00000000" w14:paraId="0000006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Não: Prosseguir para etapa 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os dados disponíveis no CRM, esclarecendo que os valores apresentados representam os valores originalmente registrados na operação e que o valor oficial para pagamento deve ser confirmado exclusivamente com a Central de Pagamentos, pelo WhatsApp (11) 5028-2521.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br w:type="textWrapping"/>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 cliente deseja realizar a liquidação antecipada da operação? </w:t>
              <w:br w:type="textWrapping"/>
              <w:t xml:space="preserve">• Sim: Prosseguir para etapa 9. </w:t>
              <w:br w:type="textWrapping"/>
              <w:t xml:space="preserve">• Não: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br w:type="textWrapping"/>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Encaminhar ao cliente o canal de contato da equipe de pagamentos com o link do WhatsApp de contato!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Orientar o cliente a não encaminhar repetidas mensagens, apenas encaminhar uma vez e aguardar o retorno do time, o link pode ser gerado em até 24 horas. Finalizar o atendimento com a tabulação: Produto: Empréstimo Pessoal &gt; Motivo: Pagamentos &gt; Detalhes: Quitação do Contrato.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br w:type="textWrapping"/>
              <w:t xml:space="preserve">Cobrança/24 Horas </w:t>
            </w:r>
            <w:r w:rsidDel="00000000" w:rsidR="00000000" w:rsidRPr="00000000">
              <w:rPr>
                <w:rtl w:val="0"/>
              </w:rPr>
            </w:r>
          </w:p>
        </w:tc>
      </w:tr>
    </w:tbl>
    <w:p w:rsidR="00000000" w:rsidDel="00000000" w:rsidP="00000000" w:rsidRDefault="00000000" w:rsidRPr="00000000" w14:paraId="00000078">
      <w:pPr>
        <w:rPr>
          <w:sz w:val="10"/>
          <w:szCs w:val="10"/>
        </w:rPr>
      </w:pPr>
      <w:r w:rsidDel="00000000" w:rsidR="00000000" w:rsidRPr="00000000">
        <w:rPr>
          <w:rtl w:val="0"/>
        </w:rPr>
      </w:r>
    </w:p>
    <w:p w:rsidR="00000000" w:rsidDel="00000000" w:rsidP="00000000" w:rsidRDefault="00000000" w:rsidRPr="00000000" w14:paraId="00000079">
      <w:pPr>
        <w:rPr>
          <w:sz w:val="10"/>
          <w:szCs w:val="10"/>
        </w:rPr>
      </w:pPr>
      <w:r w:rsidDel="00000000" w:rsidR="00000000" w:rsidRPr="00000000">
        <w:rPr>
          <w:rtl w:val="0"/>
        </w:rPr>
      </w:r>
    </w:p>
    <w:p w:rsidR="00000000" w:rsidDel="00000000" w:rsidP="00000000" w:rsidRDefault="00000000" w:rsidRPr="00000000" w14:paraId="0000007A">
      <w:pPr>
        <w:rPr>
          <w:sz w:val="10"/>
          <w:szCs w:val="10"/>
        </w:rPr>
      </w:pPr>
      <w:r w:rsidDel="00000000" w:rsidR="00000000" w:rsidRPr="00000000">
        <w:rPr>
          <w:rtl w:val="0"/>
        </w:rPr>
      </w:r>
    </w:p>
    <w:p w:rsidR="00000000" w:rsidDel="00000000" w:rsidP="00000000" w:rsidRDefault="00000000" w:rsidRPr="00000000" w14:paraId="0000007B">
      <w:pPr>
        <w:rPr>
          <w:sz w:val="10"/>
          <w:szCs w:val="10"/>
        </w:rPr>
      </w:pPr>
      <w:r w:rsidDel="00000000" w:rsidR="00000000" w:rsidRPr="00000000">
        <w:rPr>
          <w:rtl w:val="0"/>
        </w:rPr>
      </w:r>
    </w:p>
    <w:p w:rsidR="00000000" w:rsidDel="00000000" w:rsidP="00000000" w:rsidRDefault="00000000" w:rsidRPr="00000000" w14:paraId="0000007C">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5.1. INFORMAÇÕES PARA CONSULTA NO CRM</w:t>
      </w:r>
      <w:r w:rsidDel="00000000" w:rsidR="00000000" w:rsidRPr="00000000">
        <w:rPr>
          <w:rtl w:val="0"/>
        </w:rPr>
      </w:r>
    </w:p>
    <w:tbl>
      <w:tblPr>
        <w:tblStyle w:val="Table10"/>
        <w:tblW w:w="106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40"/>
        <w:gridCol w:w="2937"/>
        <w:gridCol w:w="141"/>
        <w:gridCol w:w="5557"/>
        <w:tblGridChange w:id="0">
          <w:tblGrid>
            <w:gridCol w:w="1985"/>
            <w:gridCol w:w="40"/>
            <w:gridCol w:w="2937"/>
            <w:gridCol w:w="141"/>
            <w:gridCol w:w="5557"/>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7D">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SISTEMA</w:t>
            </w:r>
          </w:p>
        </w:tc>
        <w:tc>
          <w:tcPr>
            <w:tcBorders>
              <w:top w:color="2e5fac" w:space="0" w:sz="4" w:val="single"/>
              <w:left w:color="2e5fac" w:space="0" w:sz="4" w:val="single"/>
              <w:bottom w:color="2e5fac" w:space="0" w:sz="4" w:val="single"/>
              <w:right w:color="2e5fac" w:space="0" w:sz="4" w:val="single"/>
            </w:tcBorders>
            <w:shd w:fill="2e5fac" w:val="clear"/>
            <w:vAlign w:val="center"/>
          </w:tcPr>
          <w:p w:rsidR="00000000" w:rsidDel="00000000" w:rsidP="00000000" w:rsidRDefault="00000000" w:rsidRPr="00000000" w14:paraId="0000007E">
            <w:pPr>
              <w:jc w:val="center"/>
              <w:rPr>
                <w:rFonts w:ascii="Arial" w:cs="Arial" w:eastAsia="Arial" w:hAnsi="Arial"/>
                <w:b w:val="1"/>
                <w:bCs w:val="1"/>
                <w:color w:val="ffffff"/>
              </w:rPr>
            </w:pP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7F">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INFORMAÇÃO</w:t>
            </w:r>
          </w:p>
        </w:tc>
        <w:tc>
          <w:tcPr>
            <w:gridSpan w:val="2"/>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80">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DESCRIÇÃO</w:t>
            </w:r>
          </w:p>
        </w:tc>
      </w:tr>
      <w:tr>
        <w:trPr>
          <w:cantSplit w:val="1"/>
          <w:trHeight w:val="394"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83">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Status do Contrato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tabs>
                <w:tab w:val="left" w:leader="none" w:pos="5879"/>
              </w:tabs>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Verificar se a operação encontra-se ativa, quitada ou em atraso.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88">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Depositado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tabs>
                <w:tab w:val="left" w:leader="none" w:pos="1892"/>
              </w:tabs>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efetivamente disponibilizado ao cliente na contratação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8D">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Total Devido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total originalmente contratado para pagamento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92">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Data de Desembolso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 data de liberação do crédito ao cliente.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97">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Número da CCB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Identificar a Cédula de Crédito Bancário vinculada à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9C">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Quantidade de Parcelas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 quantidade total de parcelas previstas no contrato.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1">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Parcelas da Operação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parcelas quitadas, parcelas em aberto e parcelas vencidas.</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6">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Data de Vencimento das Parcelas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as datas de vencimento previstas para cada parcela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B">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das Parcelas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os valores originalmente registrados para cada parcela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0">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Status de Pagamento das Parcelas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Verificar se a parcela encontra-se paga, em aberto ou em atraso.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5">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Pago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os valores efetivamente pagos pelo cliente quando houver registro de liquidação da parcela.</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A">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Data do Pagamento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 data de liquidação das parcelas pagas.</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F">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Registros de Solicitações Internas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acionamentos realizados para Suporte de Atendimento, Equipe de Cobrança ou demais áreas envolvidas no processo.</w:t>
            </w:r>
          </w:p>
        </w:tc>
      </w:tr>
    </w:tbl>
    <w:p w:rsidR="00000000" w:rsidDel="00000000" w:rsidP="00000000" w:rsidRDefault="00000000" w:rsidRPr="00000000" w14:paraId="000000C3">
      <w:pPr>
        <w:rPr>
          <w:sz w:val="10"/>
          <w:szCs w:val="10"/>
        </w:rPr>
      </w:pPr>
      <w:r w:rsidDel="00000000" w:rsidR="00000000" w:rsidRPr="00000000">
        <w:rPr>
          <w:rtl w:val="0"/>
        </w:rPr>
      </w:r>
    </w:p>
    <w:p w:rsidR="00000000" w:rsidDel="00000000" w:rsidP="00000000" w:rsidRDefault="00000000" w:rsidRPr="00000000" w14:paraId="000000C4">
      <w:pPr>
        <w:shd w:fill="2e5fac" w:val="clear"/>
        <w:spacing w:before="200" w:lineRule="auto"/>
        <w:ind w:left="120" w:firstLine="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5.2. SLAS DO PROCESSO</w:t>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8"/>
        <w:gridCol w:w="6377"/>
        <w:gridCol w:w="2681"/>
        <w:tblGridChange w:id="0">
          <w:tblGrid>
            <w:gridCol w:w="1398"/>
            <w:gridCol w:w="6377"/>
            <w:gridCol w:w="2681"/>
          </w:tblGrid>
        </w:tblGridChange>
      </w:tblGrid>
      <w:tr>
        <w:trPr>
          <w:cantSplit w:val="0"/>
          <w:tblHeader w:val="1"/>
        </w:trPr>
        <w:tc>
          <w:tcPr>
            <w:shd w:fill="2e5fac" w:val="clear"/>
            <w:vAlign w:val="center"/>
          </w:tcPr>
          <w:p w:rsidR="00000000" w:rsidDel="00000000" w:rsidP="00000000" w:rsidRDefault="00000000" w:rsidRPr="00000000" w14:paraId="000000C5">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SLA</w:t>
            </w:r>
          </w:p>
        </w:tc>
        <w:tc>
          <w:tcPr>
            <w:shd w:fill="2e5fac" w:val="clear"/>
            <w:vAlign w:val="center"/>
          </w:tcPr>
          <w:p w:rsidR="00000000" w:rsidDel="00000000" w:rsidP="00000000" w:rsidRDefault="00000000" w:rsidRPr="00000000" w14:paraId="000000C6">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REFERE-SE A</w:t>
            </w:r>
          </w:p>
        </w:tc>
        <w:tc>
          <w:tcPr>
            <w:shd w:fill="2e5fac" w:val="clear"/>
            <w:vAlign w:val="center"/>
          </w:tcPr>
          <w:p w:rsidR="00000000" w:rsidDel="00000000" w:rsidP="00000000" w:rsidRDefault="00000000" w:rsidRPr="00000000" w14:paraId="000000C7">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REFERÊNCIA (ITEM 5 – FLUXO DE ATENDIMENTO)</w:t>
            </w:r>
          </w:p>
        </w:tc>
      </w:tr>
      <w:tr>
        <w:trPr>
          <w:cantSplit w:val="0"/>
          <w:tblHeader w:val="0"/>
        </w:trPr>
        <w:tc>
          <w:tcPr>
            <w:shd w:fill="f2f2f2" w:val="clear"/>
            <w:vAlign w:val="center"/>
          </w:tcPr>
          <w:p w:rsidR="00000000" w:rsidDel="00000000" w:rsidP="00000000" w:rsidRDefault="00000000" w:rsidRPr="00000000" w14:paraId="000000C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24 horas</w:t>
            </w:r>
          </w:p>
        </w:tc>
        <w:tc>
          <w:tcPr>
            <w:shd w:fill="f2f2f2" w:val="clear"/>
            <w:vAlign w:val="center"/>
          </w:tcPr>
          <w:p w:rsidR="00000000" w:rsidDel="00000000" w:rsidP="00000000" w:rsidRDefault="00000000" w:rsidRPr="00000000" w14:paraId="000000C9">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Emissão e envio da Carta de Quitação pelo Suporte de Atendimento após registro da solicitação.</w:t>
            </w:r>
          </w:p>
        </w:tc>
        <w:tc>
          <w:tcPr>
            <w:shd w:fill="f2f2f2" w:val="clear"/>
            <w:vAlign w:val="center"/>
          </w:tcPr>
          <w:p w:rsidR="00000000" w:rsidDel="00000000" w:rsidP="00000000" w:rsidRDefault="00000000" w:rsidRPr="00000000" w14:paraId="000000C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Etapa 5</w:t>
            </w:r>
          </w:p>
        </w:tc>
      </w:tr>
      <w:tr>
        <w:trPr>
          <w:cantSplit w:val="0"/>
          <w:tblHeader w:val="0"/>
        </w:trPr>
        <w:tc>
          <w:tcPr>
            <w:shd w:fill="f2f2f2" w:val="clear"/>
            <w:vAlign w:val="center"/>
          </w:tcPr>
          <w:p w:rsidR="00000000" w:rsidDel="00000000" w:rsidP="00000000" w:rsidRDefault="00000000" w:rsidRPr="00000000" w14:paraId="000000CB">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24 horas</w:t>
            </w:r>
          </w:p>
        </w:tc>
        <w:tc>
          <w:tcPr>
            <w:shd w:fill="f2f2f2" w:val="clear"/>
            <w:vAlign w:val="center"/>
          </w:tcPr>
          <w:p w:rsidR="00000000" w:rsidDel="00000000" w:rsidP="00000000" w:rsidRDefault="00000000" w:rsidRPr="00000000" w14:paraId="000000CC">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Emissão e envio do link de pagamento em caráter contingencial pela Equipe de Cobrança, podendo ocorrer no mesmo dia da solicitação.</w:t>
            </w:r>
          </w:p>
        </w:tc>
        <w:tc>
          <w:tcPr>
            <w:shd w:fill="f2f2f2" w:val="clear"/>
            <w:vAlign w:val="center"/>
          </w:tcPr>
          <w:p w:rsidR="00000000" w:rsidDel="00000000" w:rsidP="00000000" w:rsidRDefault="00000000" w:rsidRPr="00000000" w14:paraId="000000C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Etapa 10</w:t>
            </w:r>
          </w:p>
        </w:tc>
      </w:tr>
      <w:tr>
        <w:trPr>
          <w:cantSplit w:val="0"/>
          <w:tblHeader w:val="0"/>
        </w:trPr>
        <w:tc>
          <w:tcPr>
            <w:shd w:fill="f2f2f2" w:val="clear"/>
            <w:vAlign w:val="center"/>
          </w:tcPr>
          <w:p w:rsidR="00000000" w:rsidDel="00000000" w:rsidP="00000000" w:rsidRDefault="00000000" w:rsidRPr="00000000" w14:paraId="000000C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Imediato</w:t>
            </w:r>
          </w:p>
        </w:tc>
        <w:tc>
          <w:tcPr>
            <w:shd w:fill="f2f2f2" w:val="clear"/>
            <w:vAlign w:val="center"/>
          </w:tcPr>
          <w:p w:rsidR="00000000" w:rsidDel="00000000" w:rsidP="00000000" w:rsidRDefault="00000000" w:rsidRPr="00000000" w14:paraId="000000CF">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Identificação da solicitação, consulta das informações da operação no CRM e orientações prestadas ao cliente durante o atendimento.</w:t>
            </w:r>
          </w:p>
        </w:tc>
        <w:tc>
          <w:tcPr>
            <w:shd w:fill="f2f2f2" w:val="clear"/>
            <w:vAlign w:val="center"/>
          </w:tcPr>
          <w:p w:rsidR="00000000" w:rsidDel="00000000" w:rsidP="00000000" w:rsidRDefault="00000000" w:rsidRPr="00000000" w14:paraId="000000D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Etapas 1 a 4 e 6 a 9</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6. PONTOS DE ATENÇÃO E REGRAS DO PROCESSO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Este procedimento aplica-se exclusivamente às operações de Empréstimo Pessoal disponibilizadas pela Velotax.</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valor oficial para pagamento, amortização ou quitação da operação deve ser confirmado exclusivamente com a Central de Pagamentos, pelo WhatsApp (11) 5028-2521.</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Os valores apresentados no CRM possuem caráter informativo e representam os valores originalmente registrados na contratação da operação.</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CRM não apresenta descontos decorrentes de amortização, valores atualizados para liquidação antecipada, juros por atraso, multas ou demais atualizações financeiras aplicáveis na data do pagamento.</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atendente não possui acesso aos valores atualizados de liquidação; essas informações são fornecidas apenas pela Central de Pagamentos.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Central de Pagamentos é o único canal disponibilizado ao cliente para consulta dos valores oficiais para pagamento da operação.</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sdt>
        <w:sdtPr>
          <w:id w:val="24196596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O cliente poderá consultar suas parcelas pelo aplicativo Velotax, seguindo o caminho: Tela Inicial → menu (três traços) localizado no canto superior direito → Documentos → aba "Em andamento"/"Quitados". Para pagar, antecipar ou quitar, o cliente deve entrar em contato com a Central de Pagamentos pelo WhatsApp (11) 5028-2521.</w:t>
          </w:r>
        </w:sdtContent>
      </w:sdt>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Através da Central de Pagamentos (WhatsApp (11) 5028-2521) o cliente poderá consultar os valores atualizados da operação, gerar Pix, emitir boleto, antecipar parcelas e realizar a quitação integral do contrato.</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cliente poderá indicar livremente uma ou mais parcelas para antecipação ao entrar em contato com a Central de Pagamentos.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Não existem restrições quanto à seleção de parcelas para antecipação, desde que estejam disponíveis para pagamento junto à Central de Pagamentos.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 parcelas antecipadas receberão amortização proporcional dos juros e encargos futuros aplicáveis à parcela selecionada.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amortização não altera o cronograma original da operação, permanecendo inalteradas as datas de vencimento das demais parcelas do contrato.</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quitação integral da operação também receberá amortização proporcional dos juros e encargos futuros aplicáveis ao saldo remanescente do contrato.</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cliente poderá realizar a liquidação de parcelas vencidas entrando em contato com a Central de Pagamentos.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Nos casos de parcelas vencidas, os valores informados pela Central de Pagamentos poderão ser diferentes dos valores visualizados no CRM em razão da aplicação de juros, multas ou demais encargos previstos contratualmente.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status da operação, quantidade de parcelas, situação das parcelas, datas de vencimento, pagamentos realizados e demais informações cadastrais poderão ser consultados através do CRM.</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Após a quitação integral da operação, o contrato passará a constar como quitado no CRM.</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Após a quitação, os documentos da operação permanecem acessíveis na aba "Quitados".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Carta de Quitação somente poderá ser solicitada para operações integralmente quitadas.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emissão da Carta de Quitação deverá ser solicitada ao Suporte de Atendimento durante o atendimento ao cliente.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comprovante de pagamento realizado via Pix ou boleto poderá ser utilizado pelo cliente como comprovante da liquidação realizada.</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contato com a Central de Pagamentos é o único caminho para pagamento, antecipação ou quitação — não se trata de canal contingencial, já que o aplicativo não realiza mais essas operações.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prazo para envio do link de pagamento é de até 24 horas, podendo ocorrer no mesmo dia da solicitação.</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link de pagamento deverá considerar a data da solicitação para cálculo dos valores atualizados da operação.</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encaminhamento de solicitações ao Suporte de Atendimento e o direcionamento do cliente ao canal de contato da equipe de pagamentos deverão ser devidamente registrados no CRM.</w:t>
      </w:r>
      <w:r w:rsidDel="00000000" w:rsidR="00000000" w:rsidRPr="00000000">
        <w:rPr>
          <w:rtl w:val="0"/>
        </w:rPr>
      </w:r>
    </w:p>
    <w:p w:rsidR="00000000" w:rsidDel="00000000" w:rsidP="00000000" w:rsidRDefault="00000000" w:rsidRPr="00000000" w14:paraId="000000F1">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7. INDICADORES DE DESEMPENHO (KPIS)</w:t>
      </w:r>
      <w:r w:rsidDel="00000000" w:rsidR="00000000" w:rsidRPr="00000000">
        <w:rPr>
          <w:rtl w:val="0"/>
        </w:rPr>
      </w:r>
    </w:p>
    <w:tbl>
      <w:tblPr>
        <w:tblStyle w:val="Table1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800"/>
        <w:gridCol w:w="4685"/>
        <w:tblGridChange w:id="0">
          <w:tblGrid>
            <w:gridCol w:w="3000"/>
            <w:gridCol w:w="2800"/>
            <w:gridCol w:w="468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18"/>
                <w:szCs w:val="18"/>
                <w:rtl w:val="0"/>
              </w:rPr>
              <w:t xml:space="preserve">INDICADOR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18"/>
                <w:szCs w:val="18"/>
                <w:rtl w:val="0"/>
              </w:rPr>
              <w:t xml:space="preserve">MÉTRICA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18"/>
                <w:szCs w:val="18"/>
                <w:rtl w:val="0"/>
              </w:rPr>
              <w:t xml:space="preserve">META</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Orientação Correta sobre Liquidação Antecipada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se o atendente orientou corretamente sobre o contato com a Central de Pagamentos para consulta do valor oficial.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jc w:val="center"/>
              <w:rPr>
                <w:rFonts w:ascii="Arial" w:cs="Arial" w:eastAsia="Arial" w:hAnsi="Arial"/>
                <w:sz w:val="19"/>
                <w:szCs w:val="19"/>
              </w:rPr>
            </w:pPr>
            <w:sdt>
              <w:sdtPr>
                <w:id w:val="-128373501"/>
                <w:tag w:val="goog_rdk_2"/>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Conformidade Processual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o cumprimento das etapas previstas neste POP durante os atendimentos.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center"/>
              <w:rPr>
                <w:rFonts w:ascii="Arial" w:cs="Arial" w:eastAsia="Arial" w:hAnsi="Arial"/>
                <w:sz w:val="19"/>
                <w:szCs w:val="19"/>
              </w:rPr>
            </w:pPr>
            <w:sdt>
              <w:sdtPr>
                <w:id w:val="-747363208"/>
                <w:tag w:val="goog_rdk_3"/>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B">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Orientação sobre Amortização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C">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se as informações relacionadas à amortização de parcelas antecipadas e quitação integral foram fornecidas corretamente ao cliente.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D">
            <w:pPr>
              <w:jc w:val="center"/>
              <w:rPr>
                <w:rFonts w:ascii="Arial" w:cs="Arial" w:eastAsia="Arial" w:hAnsi="Arial"/>
                <w:sz w:val="19"/>
                <w:szCs w:val="19"/>
              </w:rPr>
            </w:pPr>
            <w:sdt>
              <w:sdtPr>
                <w:id w:val="1312056588"/>
                <w:tag w:val="goog_rdk_4"/>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Acionamentos Corretos para Suporte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se as solicitações relacionadas à Carta de Quitação e demais tratativas foram direcionadas corretamente para a área responsável.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center"/>
              <w:rPr>
                <w:rFonts w:ascii="Arial" w:cs="Arial" w:eastAsia="Arial" w:hAnsi="Arial"/>
                <w:sz w:val="19"/>
                <w:szCs w:val="19"/>
              </w:rPr>
            </w:pPr>
            <w:sdt>
              <w:sdtPr>
                <w:id w:val="-209004504"/>
                <w:tag w:val="goog_rdk_5"/>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Acionamentos Corretos para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o correto encaminhamento das solicitações de emissão de link de pagamento em caráter contingencial.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center"/>
              <w:rPr>
                <w:rFonts w:ascii="Arial" w:cs="Arial" w:eastAsia="Arial" w:hAnsi="Arial"/>
                <w:color w:val="000000"/>
                <w:sz w:val="19"/>
                <w:szCs w:val="19"/>
              </w:rPr>
            </w:pPr>
            <w:sdt>
              <w:sdtPr>
                <w:id w:val="-1826757263"/>
                <w:tag w:val="goog_rdk_6"/>
              </w:sdtPr>
              <w:sdtContent>
                <w:r w:rsidDel="00000000" w:rsidR="00000000" w:rsidRPr="00000000">
                  <w:rPr>
                    <w:rFonts w:ascii="Arial Unicode MS" w:cs="Arial Unicode MS" w:eastAsia="Arial Unicode MS" w:hAnsi="Arial Unicode MS"/>
                    <w:sz w:val="19"/>
                    <w:szCs w:val="19"/>
                    <w:rtl w:val="0"/>
                  </w:rPr>
                  <w:t xml:space="preserve">≥ 95%</w:t>
                </w:r>
              </w:sdtContent>
            </w:sdt>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Qualidade dos Registros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 correta documentação dos atendimentos e dos acionamentos realizados no CRM.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center"/>
              <w:rPr>
                <w:rFonts w:ascii="Arial" w:cs="Arial" w:eastAsia="Arial" w:hAnsi="Arial"/>
                <w:color w:val="000000"/>
                <w:sz w:val="19"/>
                <w:szCs w:val="19"/>
              </w:rPr>
            </w:pPr>
            <w:sdt>
              <w:sdtPr>
                <w:id w:val="-1437414712"/>
                <w:tag w:val="goog_rdk_7"/>
              </w:sdtPr>
              <w:sdtContent>
                <w:r w:rsidDel="00000000" w:rsidR="00000000" w:rsidRPr="00000000">
                  <w:rPr>
                    <w:rFonts w:ascii="Arial Unicode MS" w:cs="Arial Unicode MS" w:eastAsia="Arial Unicode MS" w:hAnsi="Arial Unicode MS"/>
                    <w:color w:val="000000"/>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Retrabalho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atendimentos reabertos em razão de orientação incorreta, acionamento indevido ou falha no registro das informações.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center"/>
              <w:rPr>
                <w:rFonts w:ascii="Arial" w:cs="Arial" w:eastAsia="Arial" w:hAnsi="Arial"/>
                <w:color w:val="000000"/>
                <w:sz w:val="19"/>
                <w:szCs w:val="19"/>
              </w:rPr>
            </w:pPr>
            <w:sdt>
              <w:sdtPr>
                <w:id w:val="-1525225648"/>
                <w:tag w:val="goog_rdk_8"/>
              </w:sdtPr>
              <w:sdtContent>
                <w:r w:rsidDel="00000000" w:rsidR="00000000" w:rsidRPr="00000000">
                  <w:rPr>
                    <w:rFonts w:ascii="Arial Unicode MS" w:cs="Arial Unicode MS" w:eastAsia="Arial Unicode MS" w:hAnsi="Arial Unicode MS"/>
                    <w:color w:val="000000"/>
                    <w:sz w:val="19"/>
                    <w:szCs w:val="19"/>
                    <w:rtl w:val="0"/>
                  </w:rPr>
                  <w:t xml:space="preserve">≤ 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Tempo Médio de Atendimento (TMA)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o tempo médio gasto nos atendimentos relacionados à liquidação antecipada do Empréstimo Pessoal.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Acompanhamento Gerencial</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Satisfação do Atendimento (CSAT)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 percepção do cliente em relação ao atendimento prestado durante o processo.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Conforme meta vigente da operação</w:t>
            </w:r>
          </w:p>
        </w:tc>
      </w:tr>
    </w:tbl>
    <w:p w:rsidR="00000000" w:rsidDel="00000000" w:rsidP="00000000" w:rsidRDefault="00000000" w:rsidRPr="00000000" w14:paraId="00000110">
      <w:pPr>
        <w:rPr>
          <w:sz w:val="10"/>
          <w:szCs w:val="10"/>
        </w:rPr>
      </w:pPr>
      <w:r w:rsidDel="00000000" w:rsidR="00000000" w:rsidRPr="00000000">
        <w:rPr>
          <w:rtl w:val="0"/>
        </w:rPr>
      </w:r>
    </w:p>
    <w:p w:rsidR="00000000" w:rsidDel="00000000" w:rsidP="00000000" w:rsidRDefault="00000000" w:rsidRPr="00000000" w14:paraId="00000111">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8. GESTÃO DE RISCOS E DESVIOS</w:t>
      </w:r>
      <w:r w:rsidDel="00000000" w:rsidR="00000000" w:rsidRPr="00000000">
        <w:rPr>
          <w:rtl w:val="0"/>
        </w:rPr>
      </w:r>
    </w:p>
    <w:tbl>
      <w:tblPr>
        <w:tblStyle w:val="Table13"/>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1"/>
        <w:gridCol w:w="1741"/>
        <w:gridCol w:w="5603"/>
        <w:tblGridChange w:id="0">
          <w:tblGrid>
            <w:gridCol w:w="3141"/>
            <w:gridCol w:w="1741"/>
            <w:gridCol w:w="5603"/>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ffffff"/>
                <w:sz w:val="18"/>
                <w:szCs w:val="18"/>
                <w:rtl w:val="0"/>
              </w:rPr>
              <w:t xml:space="preserve">RISCO / DESVIO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ffffff"/>
                <w:sz w:val="18"/>
                <w:szCs w:val="18"/>
                <w:rtl w:val="0"/>
              </w:rPr>
              <w:t xml:space="preserve">PROBABILIDADE</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ffffff"/>
                <w:sz w:val="18"/>
                <w:szCs w:val="18"/>
                <w:rtl w:val="0"/>
              </w:rPr>
              <w:t xml:space="preserve">AÇÃO PREVENTIVA / CORRETIVA</w:t>
            </w:r>
            <w:r w:rsidDel="00000000" w:rsidR="00000000" w:rsidRPr="00000000">
              <w:rPr>
                <w:rtl w:val="0"/>
              </w:rPr>
            </w:r>
          </w:p>
        </w:tc>
      </w:tr>
      <w:tr>
        <w:trPr>
          <w:cantSplit w:val="1"/>
          <w:trHeight w:val="462" w:hRule="atLeast"/>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15">
            <w:pPr>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o valor disponível no CRM como valor definitivo para pagamento ou quitação</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1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1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Esclarecer que os valores disponíveis no CRM possuem caráter informativo e representam os valores originalmente registrados na operação. Orientar que o valor oficial para pagamento deve ser confirmado exclusivamente com a Central de Pagamentos, pelo WhatsApp (11) 5028-2521.</w:t>
            </w:r>
          </w:p>
        </w:tc>
      </w:tr>
      <w:tr>
        <w:trPr>
          <w:cantSplit w:val="1"/>
          <w:trHeight w:val="462"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Orientação incorreta sobre contato com a Central de Pagamentos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Seguir o fluxo previsto neste POP e orientar corretamente o caminho de acesso no aplicativo.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rPr>
                <w:rFonts w:ascii="Arial" w:cs="Arial" w:eastAsia="Arial" w:hAnsi="Arial"/>
                <w:sz w:val="19"/>
                <w:szCs w:val="19"/>
              </w:rPr>
            </w:pPr>
            <w:r w:rsidDel="00000000" w:rsidR="00000000" w:rsidRPr="00000000">
              <w:rPr>
                <w:rFonts w:ascii="Arial" w:cs="Arial" w:eastAsia="Arial" w:hAnsi="Arial"/>
                <w:sz w:val="19"/>
                <w:szCs w:val="19"/>
                <w:rtl w:val="0"/>
              </w:rPr>
              <w:t xml:space="preserve">Não informar a existência de amortização em pagamentos antecipados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D">
            <w:pPr>
              <w:rPr>
                <w:rFonts w:ascii="Arial" w:cs="Arial" w:eastAsia="Arial" w:hAnsi="Arial"/>
                <w:sz w:val="19"/>
                <w:szCs w:val="19"/>
              </w:rPr>
            </w:pPr>
            <w:r w:rsidDel="00000000" w:rsidR="00000000" w:rsidRPr="00000000">
              <w:rPr>
                <w:rFonts w:ascii="Arial" w:cs="Arial" w:eastAsia="Arial" w:hAnsi="Arial"/>
                <w:sz w:val="19"/>
                <w:szCs w:val="19"/>
                <w:rtl w:val="0"/>
              </w:rPr>
              <w:t xml:space="preserve">Orientar que o sistema realiza automaticamente o cálculo dos descontos aplicáveis às parcelas antecipadas ou à quitação integral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rPr>
                <w:rFonts w:ascii="Arial" w:cs="Arial" w:eastAsia="Arial" w:hAnsi="Arial"/>
                <w:sz w:val="19"/>
                <w:szCs w:val="19"/>
              </w:rPr>
            </w:pPr>
            <w:r w:rsidDel="00000000" w:rsidR="00000000" w:rsidRPr="00000000">
              <w:rPr>
                <w:rFonts w:ascii="Arial" w:cs="Arial" w:eastAsia="Arial" w:hAnsi="Arial"/>
                <w:sz w:val="19"/>
                <w:szCs w:val="19"/>
                <w:rtl w:val="0"/>
              </w:rPr>
              <w:t xml:space="preserve">Informar incorretamente que a amortização altera o cronograma da operação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rFonts w:ascii="Arial" w:cs="Arial" w:eastAsia="Arial" w:hAnsi="Arial"/>
                <w:sz w:val="19"/>
                <w:szCs w:val="19"/>
              </w:rPr>
            </w:pPr>
            <w:r w:rsidDel="00000000" w:rsidR="00000000" w:rsidRPr="00000000">
              <w:rPr>
                <w:rFonts w:ascii="Arial" w:cs="Arial" w:eastAsia="Arial" w:hAnsi="Arial"/>
                <w:sz w:val="19"/>
                <w:szCs w:val="19"/>
                <w:rtl w:val="0"/>
              </w:rPr>
              <w:t xml:space="preserve">Esclarecer que a amortização aplica desconto apenas às parcelas antecipadas ou ao saldo remanescente da operação, sem alteração das datas de vencimento das demais parcelas.</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rPr>
                <w:rFonts w:ascii="Arial" w:cs="Arial" w:eastAsia="Arial" w:hAnsi="Arial"/>
                <w:sz w:val="19"/>
                <w:szCs w:val="19"/>
              </w:rPr>
            </w:pPr>
            <w:r w:rsidDel="00000000" w:rsidR="00000000" w:rsidRPr="00000000">
              <w:rPr>
                <w:rFonts w:ascii="Arial" w:cs="Arial" w:eastAsia="Arial" w:hAnsi="Arial"/>
                <w:sz w:val="19"/>
                <w:szCs w:val="19"/>
                <w:rtl w:val="0"/>
              </w:rPr>
              <w:t xml:space="preserve">Falha na identificação da situação da operação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rPr>
                <w:rFonts w:ascii="Arial" w:cs="Arial" w:eastAsia="Arial" w:hAnsi="Arial"/>
                <w:sz w:val="19"/>
                <w:szCs w:val="19"/>
              </w:rPr>
            </w:pPr>
            <w:r w:rsidDel="00000000" w:rsidR="00000000" w:rsidRPr="00000000">
              <w:rPr>
                <w:rFonts w:ascii="Arial" w:cs="Arial" w:eastAsia="Arial" w:hAnsi="Arial"/>
                <w:sz w:val="19"/>
                <w:szCs w:val="19"/>
                <w:rtl w:val="0"/>
              </w:rPr>
              <w:t xml:space="preserve">Validar as informações do contrato e das parcelas no CRM antes de fornecer qualquer orientação ao cliente.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rFonts w:ascii="Arial" w:cs="Arial" w:eastAsia="Arial" w:hAnsi="Arial"/>
                <w:sz w:val="19"/>
                <w:szCs w:val="19"/>
              </w:rPr>
            </w:pPr>
            <w:r w:rsidDel="00000000" w:rsidR="00000000" w:rsidRPr="00000000">
              <w:rPr>
                <w:rFonts w:ascii="Arial" w:cs="Arial" w:eastAsia="Arial" w:hAnsi="Arial"/>
                <w:sz w:val="19"/>
                <w:szCs w:val="19"/>
                <w:rtl w:val="0"/>
              </w:rPr>
              <w:t xml:space="preserve">Encerramento indevido de atendimento sem consulta das informações disponíveis no CRM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rPr>
                <w:rFonts w:ascii="Arial" w:cs="Arial" w:eastAsia="Arial" w:hAnsi="Arial"/>
                <w:sz w:val="19"/>
                <w:szCs w:val="19"/>
              </w:rPr>
            </w:pPr>
            <w:r w:rsidDel="00000000" w:rsidR="00000000" w:rsidRPr="00000000">
              <w:rPr>
                <w:rFonts w:ascii="Arial" w:cs="Arial" w:eastAsia="Arial" w:hAnsi="Arial"/>
                <w:sz w:val="19"/>
                <w:szCs w:val="19"/>
                <w:rtl w:val="0"/>
              </w:rPr>
              <w:t xml:space="preserve">Realizar a consulta da operação antes de concluir o atendimento, garantindo a correta orientação ao cliente.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Não registrar acionamento para Suporte de Atendimento quando solicitado link de pagamento contingencial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Registrar a solicitação durante o atendimento e documentar o acionamento no 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Encaminhamento incorreto de solicitações entre Suporte de Atendimento e Equipe de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Validar o motivo da solicitação e seguir o fluxo definido neste POP antes de realizar qualquer encaminhamento.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Informação incorreta sobre parcelas vencidas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Orientar que os valores apresentados no CRM podem divergir dos valores atualizados para pagamento em razão da aplicação de juros, multas e demais encargos previstos contratualmente.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Informação incorreta sobre parcelas quitadas, em aberto ou vencidas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Consultar as informações disponíveis no CRM antes de fornecer qualquer orientação ao cliente.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Emissão indevida de Carta de Quitação para operação não quitada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Validar previamente o status da operação e os registros de pagamento disponíveis no 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Registro incompleto ou incorreto do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Registrar corretamente as orientações prestadas e os acionamentos realizados durante o atendimento.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Retrabalho decorrente de orientação incorreta sobre liquidação antecipada ou amortização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Seguir integralmente as regras e orientações previstas neste procedimento.</w:t>
            </w:r>
          </w:p>
        </w:tc>
      </w:tr>
    </w:tbl>
    <w:p w:rsidR="00000000" w:rsidDel="00000000" w:rsidP="00000000" w:rsidRDefault="00000000" w:rsidRPr="00000000" w14:paraId="0000013C">
      <w:pPr>
        <w:rPr>
          <w:sz w:val="10"/>
          <w:szCs w:val="10"/>
        </w:rPr>
      </w:pPr>
      <w:r w:rsidDel="00000000" w:rsidR="00000000" w:rsidRPr="00000000">
        <w:rPr>
          <w:rtl w:val="0"/>
        </w:rPr>
      </w:r>
    </w:p>
    <w:p w:rsidR="00000000" w:rsidDel="00000000" w:rsidP="00000000" w:rsidRDefault="00000000" w:rsidRPr="00000000" w14:paraId="0000013D">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9. DOCUMENTOS E REGISTROS RELACIONADOS</w:t>
      </w:r>
      <w:r w:rsidDel="00000000" w:rsidR="00000000" w:rsidRPr="00000000">
        <w:rPr>
          <w:rtl w:val="0"/>
        </w:rPr>
      </w:r>
    </w:p>
    <w:tbl>
      <w:tblPr>
        <w:tblStyle w:val="Table14"/>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400"/>
        <w:gridCol w:w="3885"/>
        <w:tblGridChange w:id="0">
          <w:tblGrid>
            <w:gridCol w:w="2200"/>
            <w:gridCol w:w="4400"/>
            <w:gridCol w:w="388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18"/>
                <w:szCs w:val="18"/>
                <w:rtl w:val="0"/>
              </w:rPr>
              <w:t xml:space="preserve">DOCUMENTO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18"/>
                <w:szCs w:val="18"/>
                <w:rtl w:val="0"/>
              </w:rPr>
              <w:t xml:space="preserve">DESCRIÇÃO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18"/>
                <w:szCs w:val="18"/>
                <w:rtl w:val="0"/>
              </w:rPr>
              <w:t xml:space="preserve">CÓDIGO / REF.</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rPr>
                <w:rFonts w:ascii="Arial" w:cs="Arial" w:eastAsia="Arial" w:hAnsi="Arial"/>
                <w:sz w:val="19"/>
                <w:szCs w:val="19"/>
              </w:rPr>
            </w:pPr>
            <w:r w:rsidDel="00000000" w:rsidR="00000000" w:rsidRPr="00000000">
              <w:rPr>
                <w:rFonts w:ascii="Arial" w:cs="Arial" w:eastAsia="Arial" w:hAnsi="Arial"/>
                <w:sz w:val="19"/>
                <w:szCs w:val="19"/>
                <w:rtl w:val="0"/>
              </w:rPr>
              <w:t xml:space="preserve">Central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2">
            <w:pPr>
              <w:rPr>
                <w:rFonts w:ascii="Arial" w:cs="Arial" w:eastAsia="Arial" w:hAnsi="Arial"/>
                <w:sz w:val="19"/>
                <w:szCs w:val="19"/>
              </w:rPr>
            </w:pPr>
            <w:r w:rsidDel="00000000" w:rsidR="00000000" w:rsidRPr="00000000">
              <w:rPr>
                <w:rFonts w:ascii="Arial" w:cs="Arial" w:eastAsia="Arial" w:hAnsi="Arial"/>
                <w:sz w:val="19"/>
                <w:szCs w:val="19"/>
                <w:rtl w:val="0"/>
              </w:rPr>
              <w:t xml:space="preserve">Canal via WhatsApp para consulta de valores atualizados, emissão de boleto, geração de Pix, antecipação de parcelas e quitação integral do contrato.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3">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WhatsApp — Central de Pagamentos (11) 5028-2521</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rPr>
                <w:rFonts w:ascii="Arial" w:cs="Arial" w:eastAsia="Arial" w:hAnsi="Arial"/>
                <w:sz w:val="19"/>
                <w:szCs w:val="19"/>
              </w:rPr>
            </w:pPr>
            <w:r w:rsidDel="00000000" w:rsidR="00000000" w:rsidRPr="00000000">
              <w:rPr>
                <w:rFonts w:ascii="Arial" w:cs="Arial" w:eastAsia="Arial" w:hAnsi="Arial"/>
                <w:sz w:val="19"/>
                <w:szCs w:val="19"/>
                <w:rtl w:val="0"/>
              </w:rPr>
              <w:t xml:space="preserve">Histórico das interações realizadas com o cliente durante 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7">
            <w:pPr>
              <w:rPr>
                <w:rFonts w:ascii="Arial" w:cs="Arial" w:eastAsia="Arial" w:hAnsi="Arial"/>
                <w:sz w:val="19"/>
                <w:szCs w:val="19"/>
              </w:rPr>
            </w:pPr>
            <w:r w:rsidDel="00000000" w:rsidR="00000000" w:rsidRPr="00000000">
              <w:rPr>
                <w:rFonts w:ascii="Arial" w:cs="Arial" w:eastAsia="Arial" w:hAnsi="Arial"/>
                <w:sz w:val="19"/>
                <w:szCs w:val="19"/>
                <w:rtl w:val="0"/>
              </w:rPr>
              <w:t xml:space="preserve">Dados do Empréstimo Pessoal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8">
            <w:pPr>
              <w:rPr>
                <w:rFonts w:ascii="Arial" w:cs="Arial" w:eastAsia="Arial" w:hAnsi="Arial"/>
                <w:sz w:val="19"/>
                <w:szCs w:val="19"/>
              </w:rPr>
            </w:pPr>
            <w:r w:rsidDel="00000000" w:rsidR="00000000" w:rsidRPr="00000000">
              <w:rPr>
                <w:rFonts w:ascii="Arial" w:cs="Arial" w:eastAsia="Arial" w:hAnsi="Arial"/>
                <w:sz w:val="19"/>
                <w:szCs w:val="19"/>
                <w:rtl w:val="0"/>
              </w:rPr>
              <w:t xml:space="preserve">Informações da operação utilizadas para consulta da situação contratual, parcelas, pagamentos realizados e dados da contratação.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A">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Solicitação para Suporte de Atendimento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B">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dos acionamentos relacionados à Carta de Quitação e solicitação de emissão de link de pagamento em caráter contingencial.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D">
            <w:pPr>
              <w:rPr>
                <w:rFonts w:ascii="Arial" w:cs="Arial" w:eastAsia="Arial" w:hAnsi="Arial"/>
                <w:sz w:val="19"/>
                <w:szCs w:val="19"/>
              </w:rPr>
            </w:pPr>
            <w:r w:rsidDel="00000000" w:rsidR="00000000" w:rsidRPr="00000000">
              <w:rPr>
                <w:rFonts w:ascii="Arial" w:cs="Arial" w:eastAsia="Arial" w:hAnsi="Arial"/>
                <w:sz w:val="19"/>
                <w:szCs w:val="19"/>
                <w:rtl w:val="0"/>
              </w:rPr>
              <w:t xml:space="preserve">Link de Pagamento Contingencial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E">
            <w:pPr>
              <w:rPr>
                <w:rFonts w:ascii="Arial" w:cs="Arial" w:eastAsia="Arial" w:hAnsi="Arial"/>
                <w:sz w:val="19"/>
                <w:szCs w:val="19"/>
              </w:rPr>
            </w:pPr>
            <w:r w:rsidDel="00000000" w:rsidR="00000000" w:rsidRPr="00000000">
              <w:rPr>
                <w:rFonts w:ascii="Arial" w:cs="Arial" w:eastAsia="Arial" w:hAnsi="Arial"/>
                <w:sz w:val="19"/>
                <w:szCs w:val="19"/>
                <w:rtl w:val="0"/>
              </w:rPr>
              <w:t xml:space="preserve">Meio de pagamento disponibilizado ao cliente por meio da Central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Equipe de Cobrança</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0">
            <w:pPr>
              <w:rPr>
                <w:rFonts w:ascii="Arial" w:cs="Arial" w:eastAsia="Arial" w:hAnsi="Arial"/>
                <w:sz w:val="19"/>
                <w:szCs w:val="19"/>
              </w:rPr>
            </w:pPr>
            <w:r w:rsidDel="00000000" w:rsidR="00000000" w:rsidRPr="00000000">
              <w:rPr>
                <w:rFonts w:ascii="Arial" w:cs="Arial" w:eastAsia="Arial" w:hAnsi="Arial"/>
                <w:sz w:val="19"/>
                <w:szCs w:val="19"/>
                <w:rtl w:val="0"/>
              </w:rPr>
              <w:t xml:space="preserve">Comprovante de Pagamento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1">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do pagamento realizado pelo cliente por meio de Pix ou boleto.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Aplicativo / Instituição Financeira</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3">
            <w:pPr>
              <w:rPr>
                <w:rFonts w:ascii="Arial" w:cs="Arial" w:eastAsia="Arial" w:hAnsi="Arial"/>
                <w:sz w:val="19"/>
                <w:szCs w:val="19"/>
              </w:rPr>
            </w:pPr>
            <w:r w:rsidDel="00000000" w:rsidR="00000000" w:rsidRPr="00000000">
              <w:rPr>
                <w:rFonts w:ascii="Arial" w:cs="Arial" w:eastAsia="Arial" w:hAnsi="Arial"/>
                <w:sz w:val="19"/>
                <w:szCs w:val="19"/>
                <w:rtl w:val="0"/>
              </w:rPr>
              <w:t xml:space="preserve">Carta de Quitação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4">
            <w:pPr>
              <w:rPr>
                <w:rFonts w:ascii="Arial" w:cs="Arial" w:eastAsia="Arial" w:hAnsi="Arial"/>
                <w:sz w:val="19"/>
                <w:szCs w:val="19"/>
              </w:rPr>
            </w:pPr>
            <w:r w:rsidDel="00000000" w:rsidR="00000000" w:rsidRPr="00000000">
              <w:rPr>
                <w:rFonts w:ascii="Arial" w:cs="Arial" w:eastAsia="Arial" w:hAnsi="Arial"/>
                <w:sz w:val="19"/>
                <w:szCs w:val="19"/>
                <w:rtl w:val="0"/>
              </w:rPr>
              <w:t xml:space="preserve">Documento emitido após solicitação do cliente para formalização da inexistência de débitos vinculados à operação quitada.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Suporte de Atendimento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6">
            <w:pPr>
              <w:rPr>
                <w:rFonts w:ascii="Arial" w:cs="Arial" w:eastAsia="Arial" w:hAnsi="Arial"/>
                <w:sz w:val="19"/>
                <w:szCs w:val="19"/>
              </w:rPr>
            </w:pPr>
            <w:r w:rsidDel="00000000" w:rsidR="00000000" w:rsidRPr="00000000">
              <w:rPr>
                <w:rFonts w:ascii="Arial" w:cs="Arial" w:eastAsia="Arial" w:hAnsi="Arial"/>
                <w:sz w:val="19"/>
                <w:szCs w:val="19"/>
                <w:rtl w:val="0"/>
              </w:rPr>
              <w:t xml:space="preserve">Cédula de Crédito Bancário (CCB)</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rPr>
                <w:rFonts w:ascii="Arial" w:cs="Arial" w:eastAsia="Arial" w:hAnsi="Arial"/>
                <w:sz w:val="19"/>
                <w:szCs w:val="19"/>
              </w:rPr>
            </w:pPr>
            <w:r w:rsidDel="00000000" w:rsidR="00000000" w:rsidRPr="00000000">
              <w:rPr>
                <w:rFonts w:ascii="Arial" w:cs="Arial" w:eastAsia="Arial" w:hAnsi="Arial"/>
                <w:sz w:val="19"/>
                <w:szCs w:val="19"/>
                <w:rtl w:val="0"/>
              </w:rPr>
              <w:t xml:space="preserve">Documento contratual que formaliza a operação de Empréstimo Pessoal e suas condições.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8">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Operação de Empréstimo Pessoal</w:t>
            </w:r>
          </w:p>
        </w:tc>
      </w:tr>
    </w:tbl>
    <w:p w:rsidR="00000000" w:rsidDel="00000000" w:rsidP="00000000" w:rsidRDefault="00000000" w:rsidRPr="00000000" w14:paraId="00000159">
      <w:pPr>
        <w:rPr>
          <w:sz w:val="10"/>
          <w:szCs w:val="10"/>
        </w:rPr>
      </w:pPr>
      <w:r w:rsidDel="00000000" w:rsidR="00000000" w:rsidRPr="00000000">
        <w:rPr>
          <w:rtl w:val="0"/>
        </w:rPr>
      </w:r>
    </w:p>
    <w:p w:rsidR="00000000" w:rsidDel="00000000" w:rsidP="00000000" w:rsidRDefault="00000000" w:rsidRPr="00000000" w14:paraId="0000015A">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10. REFERÊNCIAS NORMATIVAS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Código de Defesa do Consumidor (Lei nº 8.078, de 11 de setembro de 1990).</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Cédula de Crédito Bancário (CCB) da operação de Empréstimo Pessoal vigente no momento da contratação.</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Termos e Condições da operação de Empréstimo Pessoal vigentes no momento da contratação.</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Normativos internos vigentes relacionados à contratação, liquidação antecipada, amortização de parcelas, emissão de Carta de Quitação e tratamento de solicitações operacionais.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Políticas internas de atendimento, registro e tratamento de solicitações da Velotax.</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Procedimentos internos das áreas de Atendimento, Suporte de Atendimento e Cobrança aplicáveis ao processo.</w:t>
      </w:r>
      <w:r w:rsidDel="00000000" w:rsidR="00000000" w:rsidRPr="00000000">
        <w:rPr>
          <w:rtl w:val="0"/>
        </w:rPr>
      </w:r>
    </w:p>
    <w:p w:rsidR="00000000" w:rsidDel="00000000" w:rsidP="00000000" w:rsidRDefault="00000000" w:rsidRPr="00000000" w14:paraId="00000161">
      <w:pPr>
        <w:shd w:fill="2e5fac" w:val="clear"/>
        <w:spacing w:before="200" w:lineRule="auto"/>
        <w:ind w:left="120" w:firstLine="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11. HISTÓRICO DE REVISÕES</w:t>
      </w:r>
    </w:p>
    <w:tbl>
      <w:tblPr>
        <w:tblStyle w:val="Table15"/>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800"/>
        <w:gridCol w:w="4526"/>
        <w:gridCol w:w="3459"/>
        <w:tblGridChange w:id="0">
          <w:tblGrid>
            <w:gridCol w:w="700"/>
            <w:gridCol w:w="1800"/>
            <w:gridCol w:w="4526"/>
            <w:gridCol w:w="3459"/>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sz w:val="18"/>
                <w:szCs w:val="18"/>
                <w:rtl w:val="0"/>
              </w:rPr>
              <w:t xml:space="preserve">REV.</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sz w:val="18"/>
                <w:szCs w:val="18"/>
                <w:rtl w:val="0"/>
              </w:rPr>
              <w:t xml:space="preserve">DESCRIÇÃO DA ALTERAÇÃO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ffffff"/>
                <w:sz w:val="18"/>
                <w:szCs w:val="18"/>
                <w:rtl w:val="0"/>
              </w:rPr>
              <w:t xml:space="preserve">APROVADO POR</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drawing>
          <wp:inline distB="0" distT="0" distL="0" distR="0">
            <wp:extent cx="6522661" cy="8996816"/>
            <wp:effectExtent b="0" l="0" r="0" t="0"/>
            <wp:docPr id="2050130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22661" cy="8996816"/>
                    </a:xfrm>
                    <a:prstGeom prst="rect"/>
                    <a:ln/>
                  </pic:spPr>
                </pic:pic>
              </a:graphicData>
            </a:graphic>
          </wp:inline>
        </w:drawing>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720" w:top="720" w:left="720" w:right="720" w:header="708"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jc w:val="center"/>
      <w:rPr/>
    </w:pPr>
    <w:r w:rsidDel="00000000" w:rsidR="00000000" w:rsidRPr="00000000">
      <w:rPr>
        <w:rFonts w:ascii="Arial" w:cs="Arial" w:eastAsia="Arial" w:hAnsi="Arial"/>
        <w:color w:val="888888"/>
        <w:sz w:val="16"/>
        <w:szCs w:val="16"/>
        <w:rtl w:val="0"/>
      </w:rPr>
      <w:t xml:space="preserve">POP-EP-004 | Liquidação Antecipada | Rev. 01 | Jun/2026     Pág.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drawing>
        <wp:inline distB="0" distT="0" distL="0" distR="0">
          <wp:extent cx="1373893" cy="250873"/>
          <wp:effectExtent b="0" l="0" r="0" t="0"/>
          <wp:docPr id="2050130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3893" cy="25087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0" w:type="dxa"/>
        <w:bottom w:w="0.0" w:type="dxa"/>
        <w:right w:w="10.0" w:type="dxa"/>
      </w:tblCellMar>
    </w:tblPr>
  </w:style>
  <w:style w:type="table" w:styleId="a0" w:customStyle="1">
    <w:basedOn w:val="TableNormal"/>
    <w:tblPr>
      <w:tblStyleRowBandSize w:val="1"/>
      <w:tblStyleColBandSize w:val="1"/>
      <w:tblCellMar>
        <w:top w:w="0.0" w:type="dxa"/>
        <w:left w:w="10.0" w:type="dxa"/>
        <w:bottom w:w="0.0" w:type="dxa"/>
        <w:right w:w="10.0" w:type="dxa"/>
      </w:tblCellMar>
    </w:tblPr>
  </w:style>
  <w:style w:type="table" w:styleId="a1" w:customStyle="1">
    <w:basedOn w:val="TableNormal"/>
    <w:tblPr>
      <w:tblStyleRowBandSize w:val="1"/>
      <w:tblStyleColBandSize w:val="1"/>
      <w:tblCellMar>
        <w:top w:w="0.0" w:type="dxa"/>
        <w:left w:w="10.0" w:type="dxa"/>
        <w:bottom w:w="0.0" w:type="dxa"/>
        <w:right w:w="10.0" w:type="dxa"/>
      </w:tblCellMar>
    </w:tblPr>
  </w:style>
  <w:style w:type="table" w:styleId="a2" w:customStyle="1">
    <w:basedOn w:val="TableNormal"/>
    <w:tblPr>
      <w:tblStyleRowBandSize w:val="1"/>
      <w:tblStyleColBandSize w:val="1"/>
      <w:tblCellMar>
        <w:top w:w="0.0" w:type="dxa"/>
        <w:left w:w="10.0" w:type="dxa"/>
        <w:bottom w:w="0.0" w:type="dxa"/>
        <w:right w:w="10.0" w:type="dxa"/>
      </w:tblCellMar>
    </w:tblPr>
  </w:style>
  <w:style w:type="table" w:styleId="a3" w:customStyle="1">
    <w:basedOn w:val="TableNormal"/>
    <w:tblPr>
      <w:tblStyleRowBandSize w:val="1"/>
      <w:tblStyleColBandSize w:val="1"/>
      <w:tblCellMar>
        <w:top w:w="0.0" w:type="dxa"/>
        <w:left w:w="10.0" w:type="dxa"/>
        <w:bottom w:w="0.0" w:type="dxa"/>
        <w:right w:w="10.0" w:type="dxa"/>
      </w:tblCellMar>
    </w:tblPr>
  </w:style>
  <w:style w:type="table" w:styleId="a4" w:customStyle="1">
    <w:basedOn w:val="TableNormal"/>
    <w:tblPr>
      <w:tblStyleRowBandSize w:val="1"/>
      <w:tblStyleColBandSize w:val="1"/>
      <w:tblCellMar>
        <w:top w:w="0.0" w:type="dxa"/>
        <w:left w:w="10.0" w:type="dxa"/>
        <w:bottom w:w="0.0" w:type="dxa"/>
        <w:right w:w="10.0" w:type="dxa"/>
      </w:tblCellMar>
    </w:tblPr>
  </w:style>
  <w:style w:type="table" w:styleId="a5" w:customStyle="1">
    <w:basedOn w:val="TableNormal"/>
    <w:tblPr>
      <w:tblStyleRowBandSize w:val="1"/>
      <w:tblStyleColBandSize w:val="1"/>
      <w:tblCellMar>
        <w:top w:w="0.0" w:type="dxa"/>
        <w:left w:w="10.0" w:type="dxa"/>
        <w:bottom w:w="0.0" w:type="dxa"/>
        <w:right w:w="10.0" w:type="dxa"/>
      </w:tblCellMar>
    </w:tblPr>
  </w:style>
  <w:style w:type="table" w:styleId="a6" w:customStyle="1">
    <w:basedOn w:val="TableNormal"/>
    <w:tblPr>
      <w:tblStyleRowBandSize w:val="1"/>
      <w:tblStyleColBandSize w:val="1"/>
      <w:tblCellMar>
        <w:top w:w="0.0" w:type="dxa"/>
        <w:left w:w="10.0" w:type="dxa"/>
        <w:bottom w:w="0.0" w:type="dxa"/>
        <w:right w:w="10.0" w:type="dxa"/>
      </w:tblCellMar>
    </w:tblPr>
  </w:style>
  <w:style w:type="table" w:styleId="a7" w:customStyle="1">
    <w:basedOn w:val="TableNormal"/>
    <w:tblPr>
      <w:tblStyleRowBandSize w:val="1"/>
      <w:tblStyleColBandSize w:val="1"/>
      <w:tblCellMar>
        <w:top w:w="0.0" w:type="dxa"/>
        <w:left w:w="10.0" w:type="dxa"/>
        <w:bottom w:w="0.0" w:type="dxa"/>
        <w:right w:w="10.0" w:type="dxa"/>
      </w:tblCellMar>
    </w:tblPr>
  </w:style>
  <w:style w:type="table" w:styleId="a8" w:customStyle="1">
    <w:basedOn w:val="TableNormal"/>
    <w:tblPr>
      <w:tblStyleRowBandSize w:val="1"/>
      <w:tblStyleColBandSize w:val="1"/>
      <w:tblCellMar>
        <w:top w:w="0.0" w:type="dxa"/>
        <w:left w:w="10.0" w:type="dxa"/>
        <w:bottom w:w="0.0" w:type="dxa"/>
        <w:right w:w="10.0" w:type="dxa"/>
      </w:tblCellMar>
    </w:tblPr>
  </w:style>
  <w:style w:type="paragraph" w:styleId="PargrafodaLista">
    <w:name w:val="List Paragraph"/>
    <w:basedOn w:val="Normal"/>
    <w:uiPriority w:val="34"/>
    <w:qFormat w:val="1"/>
    <w:rsid w:val="00E00286"/>
    <w:pPr>
      <w:ind w:left="720"/>
      <w:contextualSpacing w:val="1"/>
    </w:pPr>
  </w:style>
  <w:style w:type="table" w:styleId="Tabelacomgrade">
    <w:name w:val="Table Grid"/>
    <w:basedOn w:val="Tabelanormal"/>
    <w:uiPriority w:val="39"/>
    <w:rsid w:val="00771E2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LUeFWt94iKhuGaEMA2IdiQMV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XdDYmVPakdwVVFRSGIwcUE1NHRqRG0wZ3F4NzBNbm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2026-06-24T20:27:00Z</dcterms:created>
</cp:coreProperties>
</file>