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ncelamento"/>
    <w:p>
      <w:pPr>
        <w:pStyle w:val="Heading1"/>
      </w:pPr>
      <w:r>
        <w:t xml:space="preserve">Cancelamento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Cancelamento da Antecipação de IRPF por arrependimento (Art. 49 do CDC),</w:t>
      </w:r>
      <w:r>
        <w:t xml:space="preserve"> </w:t>
      </w:r>
      <w:r>
        <w:t xml:space="preserve">com devolução integral dos valores. Aplica-se ao time de</w:t>
      </w:r>
      <w:r>
        <w:t xml:space="preserve"> </w:t>
      </w:r>
      <w:r>
        <w:t xml:space="preserve">B2C/Atendimento.</w:t>
      </w:r>
    </w:p>
    <w:bookmarkEnd w:id="20"/>
    <w:bookmarkStart w:id="21" w:name="prazos-do-processo"/>
    <w:p>
      <w:pPr>
        <w:pStyle w:val="Heading2"/>
      </w:pPr>
      <w:r>
        <w:t xml:space="preserve">Prazos do processo</w:t>
      </w:r>
    </w:p>
    <w:p>
      <w:pPr>
        <w:numPr>
          <w:ilvl w:val="0"/>
          <w:numId w:val="1001"/>
        </w:numPr>
      </w:pPr>
      <w:r>
        <w:t xml:space="preserve">Prazo legal: 7 dias corridos, contados do dia seguinte ao desembolso</w:t>
      </w:r>
      <w:r>
        <w:t xml:space="preserve"> </w:t>
      </w:r>
      <w:r>
        <w:t xml:space="preserve">(Art. 132 do CC).</w:t>
      </w:r>
    </w:p>
    <w:p>
      <w:pPr>
        <w:numPr>
          <w:ilvl w:val="0"/>
          <w:numId w:val="1001"/>
        </w:numPr>
      </w:pPr>
      <w:r>
        <w:t xml:space="preserve">Imediato: triagem, cálculo do prazo, decisão, orientação sobre</w:t>
      </w:r>
      <w:r>
        <w:t xml:space="preserve"> </w:t>
      </w:r>
      <w:r>
        <w:t xml:space="preserve">devolução integral e abertura da Requisição "Devolução de</w:t>
      </w:r>
      <w:r>
        <w:t xml:space="preserve"> </w:t>
      </w:r>
      <w:r>
        <w:t xml:space="preserve">Antecipação" no Velohub.</w:t>
      </w:r>
    </w:p>
    <w:p>
      <w:pPr>
        <w:numPr>
          <w:ilvl w:val="0"/>
          <w:numId w:val="1001"/>
        </w:numPr>
      </w:pPr>
      <w:r>
        <w:t xml:space="preserve">Pedido registrado no 7º dia (dia limite): marcar "Análise de</w:t>
      </w:r>
      <w:r>
        <w:t xml:space="preserve"> </w:t>
      </w:r>
      <w:r>
        <w:t xml:space="preserve">Exceção" e acionar ponto focal de liderança com urgência.</w:t>
      </w:r>
    </w:p>
    <w:p>
      <w:pPr>
        <w:numPr>
          <w:ilvl w:val="0"/>
          <w:numId w:val="1001"/>
        </w:numPr>
      </w:pPr>
      <w:r>
        <w:t xml:space="preserve">Cliente: acionar o botão "Devolução/Reembolso" no comprovante do</w:t>
      </w:r>
      <w:r>
        <w:t xml:space="preserve"> </w:t>
      </w:r>
      <w:r>
        <w:t xml:space="preserve">app dentro dos 7 dias do CDC.</w:t>
      </w:r>
    </w:p>
    <w:p>
      <w:pPr>
        <w:numPr>
          <w:ilvl w:val="0"/>
          <w:numId w:val="1001"/>
        </w:numPr>
      </w:pPr>
      <w:r>
        <w:t xml:space="preserve">Escalonamento à Gestão: imediato, para baixa manual do contrato após</w:t>
      </w:r>
      <w:r>
        <w:t xml:space="preserve"> </w:t>
      </w:r>
      <w:r>
        <w:t xml:space="preserve">devolução do valor residual (em caso de devolução parcial).</w:t>
      </w:r>
    </w:p>
    <w:bookmarkEnd w:id="21"/>
    <w:bookmarkStart w:id="22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2"/>
        </w:numPr>
      </w:pPr>
      <w:r>
        <w:t xml:space="preserve">Fora dos 7 dias corridos não há cancelamento (regra de</w:t>
      </w:r>
      <w:r>
        <w:t xml:space="preserve"> </w:t>
      </w:r>
      <w:r>
        <w:t xml:space="preserve">negócio/contrato), exceto exceção validada pela gestão.</w:t>
      </w:r>
    </w:p>
    <w:p>
      <w:pPr>
        <w:numPr>
          <w:ilvl w:val="0"/>
          <w:numId w:val="1002"/>
        </w:numPr>
      </w:pPr>
      <w:r>
        <w:t xml:space="preserve">Vale a data/hora da mensagem do cliente, não o momento da</w:t>
      </w:r>
      <w:r>
        <w:t xml:space="preserve"> </w:t>
      </w:r>
      <w:r>
        <w:t xml:space="preserve">leitura/abertura do ticket pelo atendente.</w:t>
      </w:r>
    </w:p>
    <w:p>
      <w:pPr>
        <w:numPr>
          <w:ilvl w:val="0"/>
          <w:numId w:val="1002"/>
        </w:numPr>
      </w:pPr>
      <w:r>
        <w:t xml:space="preserve">Valor deve ser recomposto e mantido integral e bruto na conta</w:t>
      </w:r>
      <w:r>
        <w:t xml:space="preserve"> </w:t>
      </w:r>
      <w:r>
        <w:t xml:space="preserve">Celcoin/Velotax: não são aceitas devoluções parciais.</w:t>
      </w:r>
    </w:p>
    <w:p>
      <w:pPr>
        <w:numPr>
          <w:ilvl w:val="0"/>
          <w:numId w:val="1002"/>
        </w:numPr>
      </w:pPr>
      <w:r>
        <w:t xml:space="preserve">Se o cliente devolver de forma parcial, o contrato não é cancelado e</w:t>
      </w:r>
      <w:r>
        <w:t xml:space="preserve"> </w:t>
      </w:r>
      <w:r>
        <w:t xml:space="preserve">continua ativo; ele deve enviar o valor residual via Pix para</w:t>
      </w:r>
      <w:r>
        <w:t xml:space="preserve"> </w:t>
      </w:r>
      <w:r>
        <w:t xml:space="preserve">financeiro@velotax.com.br e enviar o comprovante.</w:t>
      </w:r>
    </w:p>
    <w:p>
      <w:pPr>
        <w:numPr>
          <w:ilvl w:val="0"/>
          <w:numId w:val="1002"/>
        </w:numPr>
      </w:pPr>
      <w:r>
        <w:t xml:space="preserve">Chave Pix CPF na conta Velotax: depende de habilitação manual do</w:t>
      </w:r>
      <w:r>
        <w:t xml:space="preserve"> </w:t>
      </w:r>
      <w:r>
        <w:t xml:space="preserve">atendente para liberar a devolução no app.</w:t>
      </w:r>
    </w:p>
    <w:bookmarkEnd w:id="22"/>
    <w:bookmarkStart w:id="23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3"/>
        </w:numPr>
      </w:pPr>
      <w:r>
        <w:t xml:space="preserve">Consultar no CRM: Data de Desembolso, Status do Contrato (deve ser</w:t>
      </w:r>
      <w:r>
        <w:t xml:space="preserve"> </w:t>
      </w:r>
      <w:r>
        <w:t xml:space="preserve">"Em vigência" ou "Emitido"), Valor Depositado e Chave Vinculada</w:t>
      </w:r>
      <w:r>
        <w:t xml:space="preserve"> </w:t>
      </w:r>
      <w:r>
        <w:t xml:space="preserve">ao Velotax.</w:t>
      </w:r>
    </w:p>
    <w:p>
      <w:pPr>
        <w:numPr>
          <w:ilvl w:val="0"/>
          <w:numId w:val="1003"/>
        </w:numPr>
      </w:pPr>
      <w:r>
        <w:t xml:space="preserve">Abrir Requisição no Velohub (aba "Requisições" &gt; "Formulário de</w:t>
      </w:r>
      <w:r>
        <w:t xml:space="preserve"> </w:t>
      </w:r>
      <w:r>
        <w:t xml:space="preserve">Solicitações" &gt; "Devolução de Antecipação"), preenchendo CPF,</w:t>
      </w:r>
      <w:r>
        <w:t xml:space="preserve"> </w:t>
      </w:r>
      <w:r>
        <w:t xml:space="preserve">Ticket, Tipo, Data da Contratação e observações.</w:t>
      </w:r>
    </w:p>
    <w:p>
      <w:pPr>
        <w:numPr>
          <w:ilvl w:val="0"/>
          <w:numId w:val="1003"/>
        </w:numPr>
      </w:pPr>
      <w:r>
        <w:t xml:space="preserve">Registrar checklist obrigatório do N1 e resumo da tratativa no CRM</w:t>
      </w:r>
      <w:r>
        <w:t xml:space="preserve"> </w:t>
      </w:r>
      <w:r>
        <w:t xml:space="preserve">ao encerrar o ticket.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