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ntratação"/>
    <w:p>
      <w:pPr>
        <w:pStyle w:val="Heading1"/>
      </w:pPr>
      <w:r>
        <w:t xml:space="preserve">Contratação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Antecipação da Restituição do IRPF 2026 do Velotax, oferecida ao cliente que possui declaração com expectativa de restituição. Aplica-se ao time de B2C/Atendimento durante o acompanhamento das etapas de contratação.</w:t>
      </w:r>
    </w:p>
    <w:bookmarkEnd w:id="20"/>
    <w:bookmarkStart w:id="21" w:name="elegibilidade-e-condições"/>
    <w:p>
      <w:pPr>
        <w:pStyle w:val="Heading2"/>
      </w:pPr>
      <w:r>
        <w:t xml:space="preserve">Elegibilidade e condições</w:t>
      </w:r>
    </w:p>
    <w:p>
      <w:pPr>
        <w:numPr>
          <w:ilvl w:val="0"/>
          <w:numId w:val="1001"/>
        </w:numPr>
        <w:pStyle w:val="Compact"/>
      </w:pPr>
      <w:r>
        <w:t xml:space="preserve">Cliente precisa ter declaração de IR com expectativa de restituição e status</w:t>
      </w:r>
      <w:r>
        <w:t xml:space="preserve"> </w:t>
      </w:r>
      <w:r>
        <w:t xml:space="preserve">“</w:t>
      </w:r>
      <w:r>
        <w:t xml:space="preserve">Em fila de restituição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Compartilhamento das informações da restituição no e-CAC é obrigatório, em favor da Velotax Serviços de Tecnologia e Informação.</w:t>
      </w:r>
    </w:p>
    <w:p>
      <w:pPr>
        <w:numPr>
          <w:ilvl w:val="0"/>
          <w:numId w:val="1001"/>
        </w:numPr>
        <w:pStyle w:val="Compact"/>
      </w:pPr>
      <w:r>
        <w:t xml:space="preserve">Chave Pix CPF deve estar cadastrada na Receita Federal e vinculada ao Velobank.</w:t>
      </w:r>
    </w:p>
    <w:p>
      <w:pPr>
        <w:numPr>
          <w:ilvl w:val="0"/>
          <w:numId w:val="1001"/>
        </w:numPr>
        <w:pStyle w:val="Compact"/>
      </w:pPr>
      <w:r>
        <w:t xml:space="preserve">Validação documental (CAF) é obrigatória para formalizar a operação.</w:t>
      </w:r>
    </w:p>
    <w:p>
      <w:pPr>
        <w:numPr>
          <w:ilvl w:val="0"/>
          <w:numId w:val="1001"/>
        </w:numPr>
        <w:pStyle w:val="Compact"/>
      </w:pPr>
      <w:r>
        <w:t xml:space="preserve">Contratação só se conclui após aprovação da análise, validação documental e assinatura da CCB (assinatura eletrônica tem validade jurídica).</w:t>
      </w:r>
    </w:p>
    <w:p>
      <w:pPr>
        <w:numPr>
          <w:ilvl w:val="0"/>
          <w:numId w:val="1001"/>
        </w:numPr>
        <w:pStyle w:val="Compact"/>
      </w:pPr>
      <w:r>
        <w:t xml:space="preserve">Elegibilidade pode mudar conforme critérios internos e atualização das informações usadas na análise.</w:t>
      </w:r>
    </w:p>
    <w:bookmarkEnd w:id="21"/>
    <w:bookmarkStart w:id="22" w:name="passo-a-passo-da-contratação"/>
    <w:p>
      <w:pPr>
        <w:pStyle w:val="Heading2"/>
      </w:pPr>
      <w:r>
        <w:t xml:space="preserve">Passo a passo da contratação</w:t>
      </w:r>
    </w:p>
    <w:p>
      <w:pPr>
        <w:numPr>
          <w:ilvl w:val="0"/>
          <w:numId w:val="1002"/>
        </w:numPr>
        <w:pStyle w:val="Compact"/>
      </w:pPr>
      <w:r>
        <w:t xml:space="preserve">Identificar a solicitação e validar em qual etapa da contratação o cliente está; solicitar evidências quando houver divergência ou erro relatado.</w:t>
      </w:r>
    </w:p>
    <w:p>
      <w:pPr>
        <w:numPr>
          <w:ilvl w:val="0"/>
          <w:numId w:val="1002"/>
        </w:numPr>
        <w:pStyle w:val="Compact"/>
      </w:pPr>
      <w:r>
        <w:t xml:space="preserve">Consultar CRM e verificar status do compartilhamento e-CAC; se não autorizado, orientar o procedimento e registrar o atendimento.</w:t>
      </w:r>
    </w:p>
    <w:p>
      <w:pPr>
        <w:numPr>
          <w:ilvl w:val="0"/>
          <w:numId w:val="1002"/>
        </w:numPr>
        <w:pStyle w:val="Compact"/>
      </w:pPr>
      <w:r>
        <w:t xml:space="preserve">Verificar status da atualização da declaração: cliente tem até 5 tentativas pelo app; se esgotadas, abrir WorkFlow para Produtos (prazo 24h).</w:t>
      </w:r>
    </w:p>
    <w:p>
      <w:pPr>
        <w:numPr>
          <w:ilvl w:val="0"/>
          <w:numId w:val="1002"/>
        </w:numPr>
        <w:pStyle w:val="Compact"/>
      </w:pPr>
      <w:r>
        <w:t xml:space="preserve">Verificar status da CAF; se em andamento/reprovada, validar documentos enviados e orientar sobre critérios de qualidade e legibilidade.</w:t>
      </w:r>
    </w:p>
    <w:p>
      <w:pPr>
        <w:numPr>
          <w:ilvl w:val="0"/>
          <w:numId w:val="1002"/>
        </w:numPr>
        <w:pStyle w:val="Compact"/>
      </w:pPr>
      <w:r>
        <w:t xml:space="preserve">Verificar elegibilidade; se inelegível, informar que não há oferta disponível e orientar a consultar o app periodicamente.</w:t>
      </w:r>
    </w:p>
    <w:p>
      <w:pPr>
        <w:numPr>
          <w:ilvl w:val="0"/>
          <w:numId w:val="1002"/>
        </w:numPr>
        <w:pStyle w:val="Compact"/>
      </w:pPr>
      <w:r>
        <w:t xml:space="preserve">Verificar cadastro da chave Pix CPF na Receita Federal e sua vinculação ao Velobank; orientar cadastro/vinculação se pendente.</w:t>
      </w:r>
    </w:p>
    <w:p>
      <w:pPr>
        <w:numPr>
          <w:ilvl w:val="0"/>
          <w:numId w:val="1002"/>
        </w:numPr>
        <w:pStyle w:val="Compact"/>
      </w:pPr>
      <w:r>
        <w:t xml:space="preserve">Verificar existência de CCB emitida e status da contratação; orientar sobre formalização ou identificar em que etapa o processo parou.</w:t>
      </w:r>
    </w:p>
    <w:p>
      <w:pPr>
        <w:numPr>
          <w:ilvl w:val="0"/>
          <w:numId w:val="1002"/>
        </w:numPr>
        <w:pStyle w:val="Compact"/>
      </w:pPr>
      <w:r>
        <w:t xml:space="preserve">Divergências sistêmicas, inconsistências operacionais ou situações não previstas: abrir WorkFlow para Produtos (48h) e escalar casos recorrentes/críticos à Gestão (48h).</w:t>
      </w:r>
    </w:p>
    <w:bookmarkEnd w:id="22"/>
    <w:bookmarkStart w:id="23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3"/>
        </w:numPr>
        <w:pStyle w:val="Compact"/>
      </w:pPr>
      <w:r>
        <w:t xml:space="preserve">Declaração precisa estar em</w:t>
      </w:r>
      <w:r>
        <w:t xml:space="preserve"> </w:t>
      </w:r>
      <w:r>
        <w:t xml:space="preserve">“</w:t>
      </w:r>
      <w:r>
        <w:t xml:space="preserve">Em fila de restituição</w:t>
      </w:r>
      <w:r>
        <w:t xml:space="preserve">”</w:t>
      </w:r>
      <w:r>
        <w:t xml:space="preserve"> </w:t>
      </w:r>
      <w:r>
        <w:t xml:space="preserve">para a contratação avançar.</w:t>
      </w:r>
    </w:p>
    <w:p>
      <w:pPr>
        <w:numPr>
          <w:ilvl w:val="0"/>
          <w:numId w:val="1003"/>
        </w:numPr>
        <w:pStyle w:val="Compact"/>
      </w:pPr>
      <w:r>
        <w:t xml:space="preserve">O motivo apresentado nos sistemas oficiais é a única fonte válida para orientar sobre negativa, cancelamento ou divergência.</w:t>
      </w:r>
    </w:p>
    <w:p>
      <w:pPr>
        <w:numPr>
          <w:ilvl w:val="0"/>
          <w:numId w:val="1003"/>
        </w:numPr>
        <w:pStyle w:val="Compact"/>
      </w:pPr>
      <w:r>
        <w:t xml:space="preserve">Valor aprovado só é liberado após aprovação final e formalização contratual; em caso de negativa, a CCB não produz efeitos.</w:t>
      </w:r>
    </w:p>
    <w:p>
      <w:pPr>
        <w:numPr>
          <w:ilvl w:val="0"/>
          <w:numId w:val="1003"/>
        </w:numPr>
        <w:pStyle w:val="Compact"/>
      </w:pPr>
      <w:r>
        <w:t xml:space="preserve">Direito de arrependimento em até 7 dias após o crédito, com devolução integral do valor, tributos e despesas da operação.</w:t>
      </w:r>
    </w:p>
    <w:p>
      <w:pPr>
        <w:numPr>
          <w:ilvl w:val="0"/>
          <w:numId w:val="1003"/>
        </w:numPr>
        <w:pStyle w:val="Compact"/>
      </w:pPr>
      <w:r>
        <w:t xml:space="preserve">Cliente deve manter dados cadastrais atualizados e pode ser solicitado a enviar documentos adicionais para validação/prevenção a fraude.</w:t>
      </w:r>
    </w:p>
    <w:bookmarkEnd w:id="23"/>
    <w:bookmarkStart w:id="24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4"/>
        </w:numPr>
        <w:pStyle w:val="Compact"/>
      </w:pPr>
      <w:r>
        <w:t xml:space="preserve">Consultar no CRM: Consentimento e-CAC, Atualização da Declaração, Status CAF, Elegibilidade, Pix CPF Registrado na Receita, Situação do Pix, Status do Contrato, Informações Contratuais (CCB, vigência, datas) e Informações Financeiras.</w:t>
      </w:r>
    </w:p>
    <w:p>
      <w:pPr>
        <w:numPr>
          <w:ilvl w:val="0"/>
          <w:numId w:val="1004"/>
        </w:numPr>
        <w:pStyle w:val="Compact"/>
      </w:pPr>
      <w:r>
        <w:t xml:space="preserve">Abrir WorkFlow para Produtos em caso de limite de tentativas esgotado (24h) ou divergência/inconsistência sistêmica (48h).</w:t>
      </w:r>
    </w:p>
    <w:p>
      <w:pPr>
        <w:numPr>
          <w:ilvl w:val="0"/>
          <w:numId w:val="1004"/>
        </w:numPr>
        <w:pStyle w:val="Compact"/>
      </w:pPr>
      <w:r>
        <w:t xml:space="preserve">Encerrar o atendimento com a tabulação: Produto: Antecipação 2026 &gt; Motivo: Informações para Contratação (ou &gt; Erros e Bugs, quando aplicável).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