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ortabilidade-de-chave-pix-cpf"/>
    <w:p>
      <w:pPr>
        <w:pStyle w:val="Heading1"/>
      </w:pPr>
      <w:r>
        <w:t xml:space="preserve">Portabilidade de Chave Pix CPF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Processo de transferência da chave Pix CPF vinculada ao Velobank para outra instituição, mantendo a titularidade da chave. Aplica-se ao time de B2C/Atendimento no contexto da Antecipação de IRPF.</w:t>
      </w:r>
    </w:p>
    <w:bookmarkEnd w:id="20"/>
    <w:bookmarkStart w:id="21" w:name="quando-é-permitido"/>
    <w:p>
      <w:pPr>
        <w:pStyle w:val="Heading2"/>
      </w:pPr>
      <w:r>
        <w:t xml:space="preserve">Quando é permitido</w:t>
      </w:r>
    </w:p>
    <w:p>
      <w:pPr>
        <w:numPr>
          <w:ilvl w:val="0"/>
          <w:numId w:val="1001"/>
        </w:numPr>
        <w:pStyle w:val="Compact"/>
      </w:pPr>
      <w:r>
        <w:t xml:space="preserve">Chave Pix CPF vinculada ao Velobank e liberada para retirada.</w:t>
      </w:r>
    </w:p>
    <w:p>
      <w:pPr>
        <w:numPr>
          <w:ilvl w:val="0"/>
          <w:numId w:val="1001"/>
        </w:numPr>
        <w:pStyle w:val="Compact"/>
      </w:pPr>
      <w:r>
        <w:t xml:space="preserve">Contratos quitados não impedem a portabilidade.</w:t>
      </w:r>
    </w:p>
    <w:p>
      <w:pPr>
        <w:numPr>
          <w:ilvl w:val="0"/>
          <w:numId w:val="1001"/>
        </w:numPr>
        <w:pStyle w:val="Compact"/>
      </w:pPr>
      <w:r>
        <w:t xml:space="preserve">Clientes sem contrato formalizado podem portar, desde que a chave esteja vinculada ao Velobank e disponível para retirada.</w:t>
      </w:r>
    </w:p>
    <w:p>
      <w:pPr>
        <w:numPr>
          <w:ilvl w:val="0"/>
          <w:numId w:val="1001"/>
        </w:numPr>
        <w:pStyle w:val="Compact"/>
      </w:pPr>
      <w:r>
        <w:t xml:space="preserve">Chave vinculada em processos de análise sem emissão de CCB não impede a portabilidade.</w:t>
      </w:r>
    </w:p>
    <w:p>
      <w:pPr>
        <w:numPr>
          <w:ilvl w:val="0"/>
          <w:numId w:val="1001"/>
        </w:numPr>
        <w:pStyle w:val="Compact"/>
      </w:pPr>
      <w:r>
        <w:t xml:space="preserve">Sem chave Pix CPF vinculada ao Velobank, a portabilidade não é possível.</w:t>
      </w:r>
    </w:p>
    <w:bookmarkEnd w:id="21"/>
    <w:bookmarkStart w:id="22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2"/>
        </w:numPr>
        <w:pStyle w:val="Compact"/>
      </w:pPr>
      <w:r>
        <w:t xml:space="preserve">Imediato: identificar a solicitação, consultar CRM e verificar situação da chave Pix e situação contratual do cliente.</w:t>
      </w:r>
    </w:p>
    <w:p>
      <w:pPr>
        <w:numPr>
          <w:ilvl w:val="0"/>
          <w:numId w:val="1002"/>
        </w:numPr>
        <w:pStyle w:val="Compact"/>
      </w:pPr>
      <w:r>
        <w:t xml:space="preserve">Se não houver chave vinculada: informar o cliente, registrar anotação interna e encerrar com a tabulação (Produto: Antecipação 2026 &gt; Motivo: Chaves Pix &gt; Detalhes: Portabilidade Chave Pix).</w:t>
      </w:r>
    </w:p>
    <w:p>
      <w:pPr>
        <w:numPr>
          <w:ilvl w:val="0"/>
          <w:numId w:val="1002"/>
        </w:numPr>
        <w:pStyle w:val="Compact"/>
      </w:pPr>
      <w:r>
        <w:t xml:space="preserve">Se o Pix estiver liberado para retirada: orientar o cliente a solicitar a chave na instituição de destino e, em seguida, concluir a portabilidade no app Velotax (Conta &gt; Área Pix &gt; Minhas Chaves &gt;</w:t>
      </w:r>
      <w:r>
        <w:t xml:space="preserve"> </w:t>
      </w:r>
      <w:r>
        <w:t xml:space="preserve">“</w:t>
      </w:r>
      <w:r>
        <w:t xml:space="preserve">Portabilidade</w:t>
      </w:r>
      <w:r>
        <w:t xml:space="preserve">”</w:t>
      </w:r>
      <w:r>
        <w:t xml:space="preserve">/</w:t>
      </w:r>
      <w:r>
        <w:t xml:space="preserve">“</w:t>
      </w:r>
      <w:r>
        <w:t xml:space="preserve">Pendência de Chave</w:t>
      </w:r>
      <w:r>
        <w:t xml:space="preserve">”</w:t>
      </w:r>
      <w:r>
        <w:t xml:space="preserve">); encerrar com a mesma tabulação.</w:t>
      </w:r>
    </w:p>
    <w:p>
      <w:pPr>
        <w:numPr>
          <w:ilvl w:val="0"/>
          <w:numId w:val="1002"/>
        </w:numPr>
        <w:pStyle w:val="Compact"/>
      </w:pPr>
      <w:r>
        <w:t xml:space="preserve">Se o cliente relatar erro ou ausência da opção: orientar limpeza de cache e novo acesso ao app.</w:t>
      </w:r>
    </w:p>
    <w:p>
      <w:pPr>
        <w:numPr>
          <w:ilvl w:val="0"/>
          <w:numId w:val="1002"/>
        </w:numPr>
        <w:pStyle w:val="Compact"/>
      </w:pPr>
      <w:r>
        <w:t xml:space="preserve">Persistindo o problema: solicitar evidências e abrir WorkFlow para Produtos (24 horas) analisar possível erro sistêmico.</w:t>
      </w:r>
    </w:p>
    <w:p>
      <w:pPr>
        <w:numPr>
          <w:ilvl w:val="0"/>
          <w:numId w:val="1002"/>
        </w:numPr>
        <w:pStyle w:val="Compact"/>
      </w:pPr>
      <w:r>
        <w:t xml:space="preserve">Se o Pix não estiver disponível para retirada: registrar anotação interna e abrir WorkFlow para Produtos excluir a chave (6 horas úteis), informando ao cliente a implicação de quebra contratual; encerrar com a tabulação (Produto: Antecipação 2026 &gt; Motivo: Chaves Pix &gt; Detalhe: Liberação Chave Pix).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A portabilidade deve ser iniciada na instituição de destino, não no Velotax.</w:t>
      </w:r>
    </w:p>
    <w:p>
      <w:pPr>
        <w:numPr>
          <w:ilvl w:val="0"/>
          <w:numId w:val="1003"/>
        </w:numPr>
        <w:pStyle w:val="Compact"/>
      </w:pPr>
      <w:r>
        <w:t xml:space="preserve">A opção de confirmação no app Velotax pode levar alguns minutos para aparecer após a solicitação na instituição de destino.</w:t>
      </w:r>
    </w:p>
    <w:p>
      <w:pPr>
        <w:numPr>
          <w:ilvl w:val="0"/>
          <w:numId w:val="1003"/>
        </w:numPr>
        <w:pStyle w:val="Compact"/>
      </w:pPr>
      <w:r>
        <w:t xml:space="preserve">Persistindo indisponibilidade ou erro, é necessário enviar evidências para análise.</w:t>
      </w:r>
    </w:p>
    <w:p>
      <w:pPr>
        <w:numPr>
          <w:ilvl w:val="0"/>
          <w:numId w:val="1003"/>
        </w:numPr>
        <w:pStyle w:val="Compact"/>
      </w:pPr>
      <w:r>
        <w:t xml:space="preserve">Exclusão da chave por indisponibilidade implica quebra contratual, e isso deve ser esclarecido ao cliente antes da abertura do WorkFlow.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Situação do Pix, Chave Pix Vinculada ao Velobank, Pix Liberado/Não Disponível para Retirada, Situação do Contrato Antecipação 2026 (vigência, quitado, cancelado etc.).</w:t>
      </w:r>
    </w:p>
    <w:p>
      <w:pPr>
        <w:numPr>
          <w:ilvl w:val="0"/>
          <w:numId w:val="1004"/>
        </w:numPr>
        <w:pStyle w:val="Compact"/>
      </w:pPr>
      <w:r>
        <w:t xml:space="preserve">Validar situação da chave e situação contratual/CCB antes de qualquer orientação ao cliente.</w:t>
      </w:r>
    </w:p>
    <w:p>
      <w:pPr>
        <w:numPr>
          <w:ilvl w:val="0"/>
          <w:numId w:val="1004"/>
        </w:numPr>
        <w:pStyle w:val="Compact"/>
      </w:pPr>
      <w:r>
        <w:t xml:space="preserve">Registrar anotação interna com situação da chave, situação contratual, orientações prestadas e ações executadas.</w:t>
      </w:r>
    </w:p>
    <w:p>
      <w:pPr>
        <w:numPr>
          <w:ilvl w:val="0"/>
          <w:numId w:val="1004"/>
        </w:numPr>
        <w:pStyle w:val="Compact"/>
      </w:pPr>
      <w:r>
        <w:t xml:space="preserve">Encerrar sempre com a tabulação correspondente: Portabilidade Chave Pix (quando orientado ou sem chave vinculada) ou Liberação Chave Pix (quando encaminhado para exclusão).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