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quebra-contratual"/>
    <w:p>
      <w:pPr>
        <w:pStyle w:val="Heading1"/>
      </w:pPr>
      <w:r>
        <w:t xml:space="preserve">Quebra Contratual</w:t>
      </w:r>
    </w:p>
    <w:bookmarkStart w:id="20" w:name="o-que-é-e-para-que-serve"/>
    <w:p>
      <w:pPr>
        <w:pStyle w:val="Heading2"/>
      </w:pPr>
      <w:r>
        <w:t xml:space="preserve">O que é e para que serve</w:t>
      </w:r>
    </w:p>
    <w:p>
      <w:pPr>
        <w:pStyle w:val="FirstParagraph"/>
      </w:pPr>
      <w:r>
        <w:t xml:space="preserve">Quebra Contratual da Antecipação de IRPF por arrependimento (Art. 49 do CDC), com devolução integral dos valores. Aplica-se ao time de B2C/Atendimento.</w:t>
      </w:r>
    </w:p>
    <w:bookmarkEnd w:id="20"/>
    <w:bookmarkStart w:id="21" w:name="quando-ocorrecritérios"/>
    <w:p>
      <w:pPr>
        <w:pStyle w:val="Heading2"/>
      </w:pPr>
      <w:r>
        <w:t xml:space="preserve">Quando ocorre/critérios</w:t>
      </w:r>
    </w:p>
    <w:p>
      <w:pPr>
        <w:numPr>
          <w:ilvl w:val="0"/>
          <w:numId w:val="1001"/>
        </w:numPr>
        <w:pStyle w:val="Compact"/>
      </w:pPr>
      <w:r>
        <w:t xml:space="preserve">Cliente solicita a quebra do contrato de Antecipação de IRPF dentro do prazo legal de arrependimento.</w:t>
      </w:r>
    </w:p>
    <w:p>
      <w:pPr>
        <w:numPr>
          <w:ilvl w:val="0"/>
          <w:numId w:val="1001"/>
        </w:numPr>
        <w:pStyle w:val="Compact"/>
      </w:pPr>
      <w:r>
        <w:t xml:space="preserve">Vale a Data de Validade do Pedido: momento do primeiro contato do cliente, independente do tempo de resposta do suporte.</w:t>
      </w:r>
    </w:p>
    <w:p>
      <w:pPr>
        <w:numPr>
          <w:ilvl w:val="0"/>
          <w:numId w:val="1001"/>
        </w:numPr>
        <w:pStyle w:val="Compact"/>
      </w:pPr>
      <w:r>
        <w:t xml:space="preserve">Status do contrato deve permitir a operação (</w:t>
      </w:r>
      <w:r>
        <w:t xml:space="preserve">“</w:t>
      </w:r>
      <w:r>
        <w:t xml:space="preserve">Em vigência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Emitido</w:t>
      </w:r>
      <w:r>
        <w:t xml:space="preserve">”</w:t>
      </w:r>
      <w:r>
        <w:t xml:space="preserve">).</w:t>
      </w:r>
    </w:p>
    <w:bookmarkEnd w:id="21"/>
    <w:bookmarkStart w:id="22" w:name="prazos-e-passo-a-passo"/>
    <w:p>
      <w:pPr>
        <w:pStyle w:val="Heading2"/>
      </w:pPr>
      <w:r>
        <w:t xml:space="preserve">Prazos e passo a passo</w:t>
      </w:r>
    </w:p>
    <w:p>
      <w:pPr>
        <w:numPr>
          <w:ilvl w:val="0"/>
          <w:numId w:val="1002"/>
        </w:numPr>
        <w:pStyle w:val="Compact"/>
      </w:pPr>
      <w:r>
        <w:t xml:space="preserve">Prazo legal: 7 dias corridos, contados a partir do dia seguinte ao da contratação/desembolso (Art. 132 do CC).</w:t>
      </w:r>
    </w:p>
    <w:p>
      <w:pPr>
        <w:numPr>
          <w:ilvl w:val="0"/>
          <w:numId w:val="1002"/>
        </w:numPr>
        <w:pStyle w:val="Compact"/>
      </w:pPr>
      <w:r>
        <w:t xml:space="preserve">Imediato: receber o acionamento, localizar a data do primeiro contato, calcular o prazo de 7 dias no CRM e decidir se o pedido está dentro do prazo.</w:t>
      </w:r>
    </w:p>
    <w:p>
      <w:pPr>
        <w:numPr>
          <w:ilvl w:val="0"/>
          <w:numId w:val="1002"/>
        </w:numPr>
        <w:pStyle w:val="Compact"/>
      </w:pPr>
      <w:r>
        <w:t xml:space="preserve">Dentro do prazo: abrir WorkFlow de cancelamento para o time de Produtos, que habilita em até 24h o botão de estorno no comprovante da antecipação.</w:t>
      </w:r>
    </w:p>
    <w:p>
      <w:pPr>
        <w:numPr>
          <w:ilvl w:val="0"/>
          <w:numId w:val="1002"/>
        </w:numPr>
        <w:pStyle w:val="Compact"/>
      </w:pPr>
      <w:r>
        <w:t xml:space="preserve">Pedido no 7º dia (dia limite): informar que o estorno deve ser feito em até 24h após a ativação do botão; se antes do último dia, o estorno deve ocorrer até a data limite dos 7 dias.</w:t>
      </w:r>
    </w:p>
    <w:p>
      <w:pPr>
        <w:numPr>
          <w:ilvl w:val="0"/>
          <w:numId w:val="1002"/>
        </w:numPr>
        <w:pStyle w:val="Compact"/>
      </w:pPr>
      <w:r>
        <w:t xml:space="preserve">Fora do prazo: informar que não é possível prosseguir e finalizar a tratativa com a tabulação correspondente (Fora dos 7 Dias).</w:t>
      </w:r>
    </w:p>
    <w:p>
      <w:pPr>
        <w:numPr>
          <w:ilvl w:val="0"/>
          <w:numId w:val="1002"/>
        </w:numPr>
        <w:pStyle w:val="Compact"/>
      </w:pPr>
      <w:r>
        <w:t xml:space="preserve">Casos recorrentes ou que exijam análise mais aprofundada: repassar à Gestão em até 24h.</w:t>
      </w:r>
    </w:p>
    <w:p>
      <w:pPr>
        <w:numPr>
          <w:ilvl w:val="0"/>
          <w:numId w:val="1002"/>
        </w:numPr>
        <w:pStyle w:val="Compact"/>
      </w:pPr>
      <w:r>
        <w:t xml:space="preserve">Imediato: registrar as interações e finalizar a tratativa no CRM.</w:t>
      </w:r>
    </w:p>
    <w:bookmarkEnd w:id="22"/>
    <w:bookmarkStart w:id="23" w:name="reforçar-com-o-cliente"/>
    <w:p>
      <w:pPr>
        <w:pStyle w:val="Heading2"/>
      </w:pPr>
      <w:r>
        <w:t xml:space="preserve">Reforçar com o cliente</w:t>
      </w:r>
    </w:p>
    <w:p>
      <w:pPr>
        <w:numPr>
          <w:ilvl w:val="0"/>
          <w:numId w:val="1003"/>
        </w:numPr>
        <w:pStyle w:val="Compact"/>
      </w:pPr>
      <w:r>
        <w:t xml:space="preserve">Fora dos 7 dias corridos não há quebra contratual (regra de negócio/contrato), salvo análise específica da gestão.</w:t>
      </w:r>
    </w:p>
    <w:p>
      <w:pPr>
        <w:numPr>
          <w:ilvl w:val="0"/>
          <w:numId w:val="1003"/>
        </w:numPr>
        <w:pStyle w:val="Compact"/>
      </w:pPr>
      <w:r>
        <w:t xml:space="preserve">Vale a data/hora da mensagem do cliente, não o momento da leitura/abertura do ticket pelo atendente.</w:t>
      </w:r>
    </w:p>
    <w:p>
      <w:pPr>
        <w:numPr>
          <w:ilvl w:val="0"/>
          <w:numId w:val="1003"/>
        </w:numPr>
        <w:pStyle w:val="Compact"/>
      </w:pPr>
      <w:r>
        <w:t xml:space="preserve">Valor deve ser mantido em conta para estorno integral e bruto: não são aceitas devoluções parciais.</w:t>
      </w:r>
    </w:p>
    <w:p>
      <w:pPr>
        <w:numPr>
          <w:ilvl w:val="0"/>
          <w:numId w:val="1003"/>
        </w:numPr>
        <w:pStyle w:val="Compact"/>
      </w:pPr>
      <w:r>
        <w:t xml:space="preserve">Chave Pix CPF na conta Velotax depende de habilitação manual do atendente para liberar o botão de estorno no app.</w:t>
      </w:r>
    </w:p>
    <w:bookmarkEnd w:id="23"/>
    <w:bookmarkStart w:id="24" w:name="consulta-no-crm-e-tabulação"/>
    <w:p>
      <w:pPr>
        <w:pStyle w:val="Heading2"/>
      </w:pPr>
      <w:r>
        <w:t xml:space="preserve">Consulta no CRM e tabulação</w:t>
      </w:r>
    </w:p>
    <w:p>
      <w:pPr>
        <w:numPr>
          <w:ilvl w:val="0"/>
          <w:numId w:val="1004"/>
        </w:numPr>
        <w:pStyle w:val="Compact"/>
      </w:pPr>
      <w:r>
        <w:t xml:space="preserve">Consultar no CRM: Data de Desembolso, Status do Contrato (</w:t>
      </w:r>
      <w:r>
        <w:t xml:space="preserve">“</w:t>
      </w:r>
      <w:r>
        <w:t xml:space="preserve">Em vigência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Emitido</w:t>
      </w:r>
      <w:r>
        <w:t xml:space="preserve">”</w:t>
      </w:r>
      <w:r>
        <w:t xml:space="preserve">), Valor Depositado e Chave Vinculada ao Velotax.</w:t>
      </w:r>
    </w:p>
    <w:p>
      <w:pPr>
        <w:numPr>
          <w:ilvl w:val="0"/>
          <w:numId w:val="1004"/>
        </w:numPr>
        <w:pStyle w:val="Compact"/>
      </w:pPr>
      <w:r>
        <w:t xml:space="preserve">Abrir chamado de Requisição no painel administrativo para liberar a rotina de estorno junto ao time de Produtos.</w:t>
      </w:r>
    </w:p>
    <w:p>
      <w:pPr>
        <w:numPr>
          <w:ilvl w:val="0"/>
          <w:numId w:val="1004"/>
        </w:numPr>
        <w:pStyle w:val="Compact"/>
      </w:pPr>
      <w:r>
        <w:t xml:space="preserve">Tabular a tratativa: Produto: Antecipação 2026 &gt; Motivo: Cancelamento &gt; Detalhe: Dentro dos 7 Dias ou Fora dos 7 Dias, conforme o caso.</w:t>
      </w:r>
    </w:p>
    <w:p>
      <w:pPr>
        <w:numPr>
          <w:ilvl w:val="0"/>
          <w:numId w:val="1004"/>
        </w:numPr>
        <w:pStyle w:val="Compact"/>
      </w:pPr>
      <w:r>
        <w:t xml:space="preserve">Registrar checklist obrigatório e resumo da tratativa no CRM ao encerrar o ticket.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2026-08-20T19:01:29Z</dcterms:created>
  <dcterms:modified xsi:type="dcterms:W3CDTF">2026-08-20T19:01:29Z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