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ntecipação-de-salário-contratação"/>
    <w:p>
      <w:pPr>
        <w:pStyle w:val="Heading1"/>
      </w:pPr>
      <w:r>
        <w:t xml:space="preserve">Antecipação de Salário – Contratação</w:t>
      </w:r>
    </w:p>
    <w:bookmarkStart w:id="20" w:name="o-que-é-e-para-que-serve"/>
    <w:p>
      <w:pPr>
        <w:pStyle w:val="Heading2"/>
      </w:pPr>
      <w:r>
        <w:t xml:space="preserve">O que é e para que serve</w:t>
      </w:r>
    </w:p>
    <w:p>
      <w:pPr>
        <w:pStyle w:val="FirstParagraph"/>
      </w:pPr>
      <w:r>
        <w:t xml:space="preserve">Modalidade de crédito da Velotax formalizada por Cédula de Crédito Bancário (CCB), liberada em parcela única e paga na data escolhida pelo cliente. A contratação é feita exclusivamente pelo aplicativo Velotax, mediante autorização de Open Finance e análise automática do sistema.</w:t>
      </w:r>
    </w:p>
    <w:bookmarkEnd w:id="20"/>
    <w:bookmarkStart w:id="21" w:name="elegibilidade-e-condições"/>
    <w:p>
      <w:pPr>
        <w:pStyle w:val="Heading2"/>
      </w:pPr>
      <w:r>
        <w:t xml:space="preserve">Elegibilidade e condições</w:t>
      </w:r>
    </w:p>
    <w:p>
      <w:pPr>
        <w:numPr>
          <w:ilvl w:val="0"/>
          <w:numId w:val="1001"/>
        </w:numPr>
        <w:pStyle w:val="Compact"/>
      </w:pPr>
      <w:r>
        <w:t xml:space="preserve">Contratação exclusiva pelo app Velotax (aba Crédito &gt; Antecipação de Salário); não é possível contratar pelo Atendimento.</w:t>
      </w:r>
    </w:p>
    <w:p>
      <w:pPr>
        <w:numPr>
          <w:ilvl w:val="0"/>
          <w:numId w:val="1001"/>
        </w:numPr>
        <w:pStyle w:val="Compact"/>
      </w:pPr>
      <w:r>
        <w:t xml:space="preserve">Exige autorização do Open Finance para leitura da conta salário do cliente; uso é somente leitura, sem movimentação financeira, conforme regras do BACEN.</w:t>
      </w:r>
    </w:p>
    <w:p>
      <w:pPr>
        <w:numPr>
          <w:ilvl w:val="0"/>
          <w:numId w:val="1001"/>
        </w:numPr>
        <w:pStyle w:val="Compact"/>
      </w:pPr>
      <w:r>
        <w:t xml:space="preserve">Análise da proposta é 100% automática; Atendimento não aprova, reprova, altera valores ou intervém no resultado.</w:t>
      </w:r>
    </w:p>
    <w:p>
      <w:pPr>
        <w:numPr>
          <w:ilvl w:val="0"/>
          <w:numId w:val="1001"/>
        </w:numPr>
        <w:pStyle w:val="Compact"/>
      </w:pPr>
      <w:r>
        <w:t xml:space="preserve">Valor disponível varia conforme critérios internos e histórico do cliente.</w:t>
      </w:r>
    </w:p>
    <w:p>
      <w:pPr>
        <w:numPr>
          <w:ilvl w:val="0"/>
          <w:numId w:val="1001"/>
        </w:numPr>
        <w:pStyle w:val="Compact"/>
      </w:pPr>
      <w:r>
        <w:t xml:space="preserve">Pagamento em parcela única, via Pix ou boleto, na data escolhida na contratação.</w:t>
      </w:r>
    </w:p>
    <w:p>
      <w:pPr>
        <w:numPr>
          <w:ilvl w:val="0"/>
          <w:numId w:val="1001"/>
        </w:numPr>
        <w:pStyle w:val="Compact"/>
      </w:pPr>
      <w:r>
        <w:t xml:space="preserve">Cliente só pode ter uma Antecipação de Salário ativa por vez; nova contratação exige quitação da anterior.</w:t>
      </w:r>
    </w:p>
    <w:p>
      <w:pPr>
        <w:numPr>
          <w:ilvl w:val="0"/>
          <w:numId w:val="1001"/>
        </w:numPr>
        <w:pStyle w:val="Compact"/>
      </w:pPr>
      <w:r>
        <w:t xml:space="preserve">Limite evolui de forma gradual conforme pagamentos em dia; pagamentos antecipados ou em atraso não aceleram o aumento do limite.</w:t>
      </w:r>
    </w:p>
    <w:bookmarkEnd w:id="21"/>
    <w:bookmarkStart w:id="22" w:name="passo-a-passo-do-atendimento"/>
    <w:p>
      <w:pPr>
        <w:pStyle w:val="Heading2"/>
      </w:pPr>
      <w:r>
        <w:t xml:space="preserve">Passo a passo do atendimento</w:t>
      </w:r>
    </w:p>
    <w:p>
      <w:pPr>
        <w:numPr>
          <w:ilvl w:val="0"/>
          <w:numId w:val="1002"/>
        </w:numPr>
        <w:pStyle w:val="Compact"/>
      </w:pPr>
      <w:r>
        <w:t xml:space="preserve">Identificar o motivo do contato: informações, contratação, erro na contratação, dúvidas sobre análise/proposta/Open Finance, crédito não recebido, dúvidas sobre pagamento/limite.</w:t>
      </w:r>
    </w:p>
    <w:p>
      <w:pPr>
        <w:numPr>
          <w:ilvl w:val="0"/>
          <w:numId w:val="1002"/>
        </w:numPr>
        <w:pStyle w:val="Compact"/>
      </w:pPr>
      <w:r>
        <w:t xml:space="preserve">Se for só dúvida sobre o produto: orientar sobre funcionamento, contratação, parcela única, Open Finance, CCB, pagamento e escada de limite. Tabular: Produto: Antecipação do Salário &gt; Motivo: Informações para Contratação.</w:t>
      </w:r>
    </w:p>
    <w:p>
      <w:pPr>
        <w:numPr>
          <w:ilvl w:val="0"/>
          <w:numId w:val="1002"/>
        </w:numPr>
        <w:pStyle w:val="Compact"/>
      </w:pPr>
      <w:r>
        <w:t xml:space="preserve">Se houver erro na contratação: identificar a etapa da falha, coletar evidências (prints, mensagens de erro, gravação de tela) e abrir requisição ao Suporte Técnico (prazo 48h). Tabular: Motivo: Erros e Bugs.</w:t>
      </w:r>
    </w:p>
    <w:p>
      <w:pPr>
        <w:numPr>
          <w:ilvl w:val="0"/>
          <w:numId w:val="1002"/>
        </w:numPr>
        <w:pStyle w:val="Compact"/>
      </w:pPr>
      <w:r>
        <w:t xml:space="preserve">Se não recebeu o crédito: confirmar se já passaram 30 minutos da confirmação da operação. Dentro do prazo, orientar a aguardar; se excedido, abrir requisição ao Suporte Técnico (prazo 48h).</w:t>
      </w:r>
    </w:p>
    <w:p>
      <w:pPr>
        <w:numPr>
          <w:ilvl w:val="0"/>
          <w:numId w:val="1002"/>
        </w:numPr>
        <w:pStyle w:val="Compact"/>
      </w:pPr>
      <w:r>
        <w:t xml:space="preserve">Se for indisponibilidade da oferta: verificar a mensagem exibida no app e orientar conforme o cenário, sem abrir requisição salvo indício de falha técnica.</w:t>
      </w:r>
    </w:p>
    <w:p>
      <w:pPr>
        <w:numPr>
          <w:ilvl w:val="0"/>
          <w:numId w:val="1002"/>
        </w:numPr>
        <w:pStyle w:val="Compact"/>
      </w:pPr>
      <w:r>
        <w:t xml:space="preserve">Registrar todas as orientações e a tratativa no CRM ao encerrar o atendimento.</w:t>
      </w:r>
    </w:p>
    <w:bookmarkEnd w:id="22"/>
    <w:bookmarkStart w:id="23" w:name="reforçar-com-o-cliente"/>
    <w:p>
      <w:pPr>
        <w:pStyle w:val="Heading2"/>
      </w:pPr>
      <w:r>
        <w:t xml:space="preserve">Reforçar com o cliente</w:t>
      </w:r>
    </w:p>
    <w:p>
      <w:pPr>
        <w:numPr>
          <w:ilvl w:val="0"/>
          <w:numId w:val="1003"/>
        </w:numPr>
        <w:pStyle w:val="Compact"/>
      </w:pPr>
      <w:r>
        <w:t xml:space="preserve">Crédito confirmado é transferido para a chave Pix CPF do próprio cliente em até 30 minutos; só depois desse prazo excedido é caso de requisição técnica.</w:t>
      </w:r>
    </w:p>
    <w:p>
      <w:pPr>
        <w:numPr>
          <w:ilvl w:val="0"/>
          <w:numId w:val="1003"/>
        </w:numPr>
        <w:pStyle w:val="Compact"/>
      </w:pPr>
      <w:r>
        <w:t xml:space="preserve">“</w:t>
      </w:r>
      <w:r>
        <w:t xml:space="preserve">Período de espera</w:t>
      </w:r>
      <w:r>
        <w:t xml:space="preserve">”</w:t>
      </w:r>
      <w:r>
        <w:t xml:space="preserve">: nova análise automática ocorrerá na data exibida no app.</w:t>
      </w:r>
    </w:p>
    <w:p>
      <w:pPr>
        <w:numPr>
          <w:ilvl w:val="0"/>
          <w:numId w:val="1003"/>
        </w:numPr>
        <w:pStyle w:val="Compact"/>
      </w:pPr>
      <w:r>
        <w:t xml:space="preserve">“</w:t>
      </w:r>
      <w:r>
        <w:t xml:space="preserve">Não foi dessa vez</w:t>
      </w:r>
      <w:r>
        <w:t xml:space="preserve">”</w:t>
      </w:r>
      <w:r>
        <w:t xml:space="preserve">: a análise automática não aprovou a operação naquele momento; o motivo específico não é informado ao cliente.</w:t>
      </w:r>
    </w:p>
    <w:p>
      <w:pPr>
        <w:numPr>
          <w:ilvl w:val="0"/>
          <w:numId w:val="1003"/>
        </w:numPr>
        <w:pStyle w:val="Compact"/>
      </w:pPr>
      <w:r>
        <w:t xml:space="preserve">“</w:t>
      </w:r>
      <w:r>
        <w:t xml:space="preserve">Antecipação indisponível</w:t>
      </w:r>
      <w:r>
        <w:t xml:space="preserve">”</w:t>
      </w:r>
      <w:r>
        <w:t xml:space="preserve">: não há oferta para a conta do cliente; sem data de nova avaliação no app, não há previsão de nova oferta.</w:t>
      </w:r>
    </w:p>
    <w:p>
      <w:pPr>
        <w:numPr>
          <w:ilvl w:val="0"/>
          <w:numId w:val="1003"/>
        </w:numPr>
        <w:pStyle w:val="Compact"/>
      </w:pPr>
      <w:r>
        <w:t xml:space="preserve">Aumento de limite é gradual e depende apenas de pagamentos em dia (antecipar ou atrasar não acelera).</w:t>
      </w:r>
    </w:p>
    <w:p>
      <w:pPr>
        <w:numPr>
          <w:ilvl w:val="0"/>
          <w:numId w:val="1003"/>
        </w:numPr>
        <w:pStyle w:val="Compact"/>
      </w:pPr>
      <w:r>
        <w:t xml:space="preserve">A Velotax nunca solicita pagamento antecipado para liberar crédito; qualquer cobrança nesse sentido é suspeita de fraude e deve ser reportada, sem que o cliente pague.</w:t>
      </w:r>
    </w:p>
    <w:bookmarkEnd w:id="23"/>
    <w:bookmarkStart w:id="24" w:name="consulta-no-crm-e-tabulação"/>
    <w:p>
      <w:pPr>
        <w:pStyle w:val="Heading2"/>
      </w:pPr>
      <w:r>
        <w:t xml:space="preserve">Consulta no CRM e tabulação</w:t>
      </w:r>
    </w:p>
    <w:p>
      <w:pPr>
        <w:numPr>
          <w:ilvl w:val="0"/>
          <w:numId w:val="1004"/>
        </w:numPr>
        <w:pStyle w:val="Compact"/>
      </w:pPr>
      <w:r>
        <w:t xml:space="preserve">Consultar no CRM: Status da Operação (em análise, contratada, em processamento, ativa, quitada ou encerrada), Dados da Contratação (data, valor liberado, valor total, vencimento, situação do contrato), Informações Financeiras, vinculação de Open Finance, CCB e Histórico de Requisições/Atendimentos.</w:t>
      </w:r>
    </w:p>
    <w:p>
      <w:pPr>
        <w:numPr>
          <w:ilvl w:val="0"/>
          <w:numId w:val="1004"/>
        </w:numPr>
        <w:pStyle w:val="Compact"/>
      </w:pPr>
      <w:r>
        <w:t xml:space="preserve">Abrir requisição ao Suporte Técnico apenas para falhas técnicas (erro na contratação ou crédito não recebido além do prazo), com descrição detalhada, etapa da falha e evidências anexadas.</w:t>
      </w:r>
    </w:p>
    <w:p>
      <w:pPr>
        <w:numPr>
          <w:ilvl w:val="0"/>
          <w:numId w:val="1004"/>
        </w:numPr>
        <w:pStyle w:val="Compact"/>
      </w:pPr>
      <w:r>
        <w:t xml:space="preserve">Registrar no CRM todas as orientações prestadas, consultas realizadas e requisições abertas, com a tabulação correspondente ao motivo do contato.</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2026-08-20T19:01:29Z</dcterms:created>
  <dcterms:modified xsi:type="dcterms:W3CDTF">2026-08-20T19:01:29Z</dcterms:modified>
</cp:coreProperties>
</file>

<file path=docProps/custom.xml><?xml version="1.0" encoding="utf-8"?>
<Properties xmlns="http://schemas.openxmlformats.org/officeDocument/2006/custom-properties" xmlns:vt="http://schemas.openxmlformats.org/officeDocument/2006/docPropsVTypes"/>
</file>