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lteração-cadastral"/>
    <w:p>
      <w:pPr>
        <w:pStyle w:val="Heading1"/>
      </w:pPr>
      <w:r>
        <w:t xml:space="preserve">Alteração Cadastral</w:t>
      </w:r>
    </w:p>
    <w:bookmarkStart w:id="20" w:name="o-que-é-e-para-que-serve"/>
    <w:p>
      <w:pPr>
        <w:pStyle w:val="Heading2"/>
      </w:pPr>
      <w:r>
        <w:t xml:space="preserve">O que é e para que serve</w:t>
      </w:r>
    </w:p>
    <w:p>
      <w:pPr>
        <w:pStyle w:val="FirstParagraph"/>
      </w:pPr>
      <w:r>
        <w:t xml:space="preserve">Atendimento a solicitações de atualização, correção ou validação de dados cadastrais do cliente (e-mail, telefone, nome ou data de nascimento), garantindo a confirmação da identidade do solicitante e a conformidade com a LGPD.</w:t>
      </w:r>
    </w:p>
    <w:bookmarkEnd w:id="20"/>
    <w:bookmarkStart w:id="21" w:name="o-que-pode-ser-alterado"/>
    <w:p>
      <w:pPr>
        <w:pStyle w:val="Heading2"/>
      </w:pPr>
      <w:r>
        <w:t xml:space="preserve">O que pode ser alterado</w:t>
      </w:r>
    </w:p>
    <w:p>
      <w:pPr>
        <w:numPr>
          <w:ilvl w:val="0"/>
          <w:numId w:val="1001"/>
        </w:numPr>
        <w:pStyle w:val="Compact"/>
      </w:pPr>
      <w:r>
        <w:t xml:space="preserve">E-mail cadastrado ou recuperação de acesso ao aplicativo.</w:t>
      </w:r>
    </w:p>
    <w:p>
      <w:pPr>
        <w:numPr>
          <w:ilvl w:val="0"/>
          <w:numId w:val="1001"/>
        </w:numPr>
        <w:pStyle w:val="Compact"/>
      </w:pPr>
      <w:r>
        <w:t xml:space="preserve">Telefone, incluindo casos de número vinculado incorretamente a outra conta.</w:t>
      </w:r>
    </w:p>
    <w:p>
      <w:pPr>
        <w:numPr>
          <w:ilvl w:val="0"/>
          <w:numId w:val="1001"/>
        </w:numPr>
        <w:pStyle w:val="Compact"/>
      </w:pPr>
      <w:r>
        <w:t xml:space="preserve">Nome incorreto.</w:t>
      </w:r>
    </w:p>
    <w:p>
      <w:pPr>
        <w:numPr>
          <w:ilvl w:val="0"/>
          <w:numId w:val="1001"/>
        </w:numPr>
        <w:pStyle w:val="Compact"/>
      </w:pPr>
      <w:r>
        <w:t xml:space="preserve">Data de nascimento incorreta.</w:t>
      </w:r>
    </w:p>
    <w:bookmarkEnd w:id="21"/>
    <w:bookmarkStart w:id="22" w:name="passo-a-passo-e-validações-necessárias"/>
    <w:p>
      <w:pPr>
        <w:pStyle w:val="Heading2"/>
      </w:pPr>
      <w:r>
        <w:t xml:space="preserve">Passo a passo e validações necessárias</w:t>
      </w:r>
    </w:p>
    <w:p>
      <w:pPr>
        <w:numPr>
          <w:ilvl w:val="0"/>
          <w:numId w:val="1002"/>
        </w:numPr>
        <w:pStyle w:val="Compact"/>
      </w:pPr>
      <w:r>
        <w:t xml:space="preserve">Identificar qual dado o cliente quer alterar e confirmar a informação atual e a nova.</w:t>
      </w:r>
    </w:p>
    <w:p>
      <w:pPr>
        <w:numPr>
          <w:ilvl w:val="0"/>
          <w:numId w:val="1002"/>
        </w:numPr>
        <w:pStyle w:val="Compact"/>
      </w:pPr>
      <w:r>
        <w:t xml:space="preserve">Alteração de e-mail: solicitar e-mail atual, novo e-mail, selfie com documento oficial (RG, CNH ou Carteira de Trabalho) ao lado do rosto e fotos do documento frente e verso.</w:t>
      </w:r>
    </w:p>
    <w:p>
      <w:pPr>
        <w:numPr>
          <w:ilvl w:val="0"/>
          <w:numId w:val="1002"/>
        </w:numPr>
        <w:pStyle w:val="Compact"/>
      </w:pPr>
      <w:r>
        <w:t xml:space="preserve">Alteração de telefone: solicitar número atual, novo número e evidência de titularidade da linha pelo app oficial da operadora.</w:t>
      </w:r>
    </w:p>
    <w:p>
      <w:pPr>
        <w:numPr>
          <w:ilvl w:val="0"/>
          <w:numId w:val="1002"/>
        </w:numPr>
        <w:pStyle w:val="Compact"/>
      </w:pPr>
      <w:r>
        <w:t xml:space="preserve">Alteração de nome/data de nascimento: consultar o Comprovante de Situação Cadastral no CPF (Receita Federal) e validar as informações na base oficial.</w:t>
      </w:r>
    </w:p>
    <w:p>
      <w:pPr>
        <w:numPr>
          <w:ilvl w:val="0"/>
          <w:numId w:val="1002"/>
        </w:numPr>
        <w:pStyle w:val="Compact"/>
      </w:pPr>
      <w:r>
        <w:t xml:space="preserve">Documentos ilegíveis, divergentes ou evidência de titularidade não conclusiva: solicitar novo envio antes de seguir.</w:t>
      </w:r>
    </w:p>
    <w:p>
      <w:pPr>
        <w:numPr>
          <w:ilvl w:val="0"/>
          <w:numId w:val="1002"/>
        </w:numPr>
        <w:pStyle w:val="Compact"/>
      </w:pPr>
      <w:r>
        <w:t xml:space="preserve">Após validação, abrir WorkFlow/Requisição para o time de Produtos e registrar as evidências em anotação interna.</w:t>
      </w:r>
    </w:p>
    <w:p>
      <w:pPr>
        <w:numPr>
          <w:ilvl w:val="0"/>
          <w:numId w:val="1002"/>
        </w:numPr>
        <w:pStyle w:val="Compact"/>
      </w:pPr>
      <w:r>
        <w:t xml:space="preserve">Inconsistências, divergências ou situações não previstas: abrir WorkFlow para Produtos e escalar casos recorrentes/críticos para a gestão.</w:t>
      </w:r>
    </w:p>
    <w:bookmarkEnd w:id="22"/>
    <w:bookmarkStart w:id="23" w:name="prazos-do-processo"/>
    <w:p>
      <w:pPr>
        <w:pStyle w:val="Heading2"/>
      </w:pPr>
      <w:r>
        <w:t xml:space="preserve">Prazos do processo</w:t>
      </w:r>
    </w:p>
    <w:p>
      <w:pPr>
        <w:numPr>
          <w:ilvl w:val="0"/>
          <w:numId w:val="1003"/>
        </w:numPr>
        <w:pStyle w:val="Compact"/>
      </w:pPr>
      <w:r>
        <w:t xml:space="preserve">Imediato: identificação da solicitação, coleta e validação de evidências, consulta aos sistemas e abertura de WorkFlow/requisição.</w:t>
      </w:r>
    </w:p>
    <w:p>
      <w:pPr>
        <w:numPr>
          <w:ilvl w:val="0"/>
          <w:numId w:val="1003"/>
        </w:numPr>
        <w:pStyle w:val="Compact"/>
      </w:pPr>
      <w:r>
        <w:t xml:space="preserve">24 horas: análise e processamento da solicitação pelo time de Produtos.</w:t>
      </w:r>
    </w:p>
    <w:p>
      <w:pPr>
        <w:numPr>
          <w:ilvl w:val="0"/>
          <w:numId w:val="1003"/>
        </w:numPr>
        <w:pStyle w:val="Compact"/>
      </w:pPr>
      <w:r>
        <w:t xml:space="preserve">48 horas: retorno ao cliente em casos recorrentes, críticos ou que dependam de validação adicional pela gestão.</w:t>
      </w:r>
    </w:p>
    <w:bookmarkEnd w:id="23"/>
    <w:bookmarkStart w:id="24" w:name="reforçar-com-o-cliente"/>
    <w:p>
      <w:pPr>
        <w:pStyle w:val="Heading2"/>
      </w:pPr>
      <w:r>
        <w:t xml:space="preserve">Reforçar com o cliente</w:t>
      </w:r>
    </w:p>
    <w:p>
      <w:pPr>
        <w:numPr>
          <w:ilvl w:val="0"/>
          <w:numId w:val="1004"/>
        </w:numPr>
        <w:pStyle w:val="Compact"/>
      </w:pPr>
      <w:r>
        <w:t xml:space="preserve">A alteração não é feita na hora: passa por análise do time de Produtos, com prazo de até 24 horas.</w:t>
      </w:r>
    </w:p>
    <w:p>
      <w:pPr>
        <w:numPr>
          <w:ilvl w:val="0"/>
          <w:numId w:val="1004"/>
        </w:numPr>
        <w:pStyle w:val="Compact"/>
      </w:pPr>
      <w:r>
        <w:t xml:space="preserve">Sem as evidências corretas (selfie com documento, documento frente/verso, comprovante de titularidade da linha) a solicitação não pode ser processada.</w:t>
      </w:r>
    </w:p>
    <w:p>
      <w:pPr>
        <w:numPr>
          <w:ilvl w:val="0"/>
          <w:numId w:val="1004"/>
        </w:numPr>
        <w:pStyle w:val="Compact"/>
      </w:pPr>
      <w:r>
        <w:t xml:space="preserve">Em caso de divergência entre o que o cliente informa e a fonte oficial consultada (Receita Federal, operadora), prevalece a informação oficial.</w:t>
      </w:r>
    </w:p>
    <w:p>
      <w:pPr>
        <w:numPr>
          <w:ilvl w:val="0"/>
          <w:numId w:val="1004"/>
        </w:numPr>
        <w:pStyle w:val="Compact"/>
      </w:pPr>
      <w:r>
        <w:t xml:space="preserve">Casos recorrentes ou críticos podem levar até 48 horas para retorno da gestão.</w:t>
      </w:r>
    </w:p>
    <w:bookmarkEnd w:id="24"/>
    <w:bookmarkStart w:id="25" w:name="consulta-no-crm-e-tabulação"/>
    <w:p>
      <w:pPr>
        <w:pStyle w:val="Heading2"/>
      </w:pPr>
      <w:r>
        <w:t xml:space="preserve">Consulta no CRM e tabulação</w:t>
      </w:r>
    </w:p>
    <w:p>
      <w:pPr>
        <w:numPr>
          <w:ilvl w:val="0"/>
          <w:numId w:val="1005"/>
        </w:numPr>
        <w:pStyle w:val="Compact"/>
      </w:pPr>
      <w:r>
        <w:t xml:space="preserve">Consultar no CRM: Nome, E-mail, Telefone, Origem, Data da Criação, Data de Nascimento e status da Conta.</w:t>
      </w:r>
    </w:p>
    <w:p>
      <w:pPr>
        <w:numPr>
          <w:ilvl w:val="0"/>
          <w:numId w:val="1005"/>
        </w:numPr>
        <w:pStyle w:val="Compact"/>
      </w:pPr>
      <w:r>
        <w:t xml:space="preserve">Registrar requisição/WorkFlow conforme o tipo de alteração (e-mail/telefone para Produtos; nome/data de nascimento conforme procedimento vigente).</w:t>
      </w:r>
    </w:p>
    <w:p>
      <w:pPr>
        <w:numPr>
          <w:ilvl w:val="0"/>
          <w:numId w:val="1005"/>
        </w:numPr>
        <w:pStyle w:val="Compact"/>
      </w:pPr>
      <w:r>
        <w:t xml:space="preserve">Tabulação: Produto: Conta Velotax &gt; Motivo: Atualização Cadastral &gt; Detalhe:</w:t>
      </w:r>
      <w:r>
        <w:t xml:space="preserve"> </w:t>
      </w:r>
      <w:r>
        <w:t xml:space="preserve">“</w:t>
      </w:r>
      <w:r>
        <w:t xml:space="preserve">Alteração de E-mail e/ou Telefone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Dados Gerais</w:t>
      </w:r>
      <w:r>
        <w:t xml:space="preserve">”</w:t>
      </w:r>
      <w:r>
        <w:t xml:space="preserve">, conforme o caso.</w:t>
      </w:r>
    </w:p>
    <w:p>
      <w:pPr>
        <w:numPr>
          <w:ilvl w:val="0"/>
          <w:numId w:val="1005"/>
        </w:numPr>
        <w:pStyle w:val="Compact"/>
      </w:pPr>
      <w:r>
        <w:t xml:space="preserve">Registrar em anotação interna as evidências utilizadas para validação antes de encerrar o atendimento.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2026-08-20T19:01:29Z</dcterms:created>
  <dcterms:modified xsi:type="dcterms:W3CDTF">2026-08-20T19:01:29Z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