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cupons-contratação-e-utilização"/>
    <w:p>
      <w:pPr>
        <w:pStyle w:val="Heading1"/>
      </w:pPr>
      <w:r>
        <w:t xml:space="preserve">Cupons – Contratação e Utilização</w:t>
      </w:r>
    </w:p>
    <w:bookmarkStart w:id="20" w:name="o-que-é-e-para-que-serve"/>
    <w:p>
      <w:pPr>
        <w:pStyle w:val="Heading2"/>
      </w:pPr>
      <w:r>
        <w:t xml:space="preserve">O que é e para que serve</w:t>
      </w:r>
    </w:p>
    <w:p>
      <w:pPr>
        <w:pStyle w:val="FirstParagraph"/>
      </w:pPr>
      <w:r>
        <w:t xml:space="preserve">Programa de benefícios vinculado ao Empréstimo Pessoal, que concede Código de Resgate após pagamento de parcela elegível, permitindo ao cliente obter Créditos Velotax para resgate de cupons junto ao parceiro Vibe. Aplica-se ao time de B2C/Atendimento.</w:t>
      </w:r>
    </w:p>
    <w:bookmarkEnd w:id="20"/>
    <w:bookmarkStart w:id="21" w:name="como-funcionaregras-de-uso"/>
    <w:p>
      <w:pPr>
        <w:pStyle w:val="Heading2"/>
      </w:pPr>
      <w:r>
        <w:t xml:space="preserve">Como funciona/regras de uso</w:t>
      </w:r>
    </w:p>
    <w:p>
      <w:pPr>
        <w:numPr>
          <w:ilvl w:val="0"/>
          <w:numId w:val="1001"/>
        </w:numPr>
        <w:pStyle w:val="Compact"/>
      </w:pPr>
      <w:r>
        <w:t xml:space="preserve">Código de Resgate é gerado automaticamente somente quando a parcela do Empréstimo Pessoal é quitada na data do vencimento.</w:t>
      </w:r>
    </w:p>
    <w:p>
      <w:pPr>
        <w:numPr>
          <w:ilvl w:val="0"/>
          <w:numId w:val="1001"/>
        </w:numPr>
        <w:pStyle w:val="Compact"/>
      </w:pPr>
      <w:r>
        <w:t xml:space="preserve">Código é exibido imediatamente no app e enviado ao e-mail cadastrado do cliente; se a tela do app for fechada, o código só fica disponível no e-mail.</w:t>
      </w:r>
    </w:p>
    <w:p>
      <w:pPr>
        <w:numPr>
          <w:ilvl w:val="0"/>
          <w:numId w:val="1001"/>
        </w:numPr>
        <w:pStyle w:val="Compact"/>
      </w:pPr>
      <w:r>
        <w:t xml:space="preserve">Cada parcela elegível gera um único Código de Resgate, utilizável uma única vez.</w:t>
      </w:r>
    </w:p>
    <w:p>
      <w:pPr>
        <w:numPr>
          <w:ilvl w:val="0"/>
          <w:numId w:val="1001"/>
        </w:numPr>
        <w:pStyle w:val="Compact"/>
      </w:pPr>
      <w:r>
        <w:t xml:space="preserve">Resgate do código libera 100 Créditos Velotax, usados para obtenção de cupons na plataforma.</w:t>
      </w:r>
    </w:p>
    <w:p>
      <w:pPr>
        <w:numPr>
          <w:ilvl w:val="0"/>
          <w:numId w:val="1001"/>
        </w:numPr>
        <w:pStyle w:val="Compact"/>
      </w:pPr>
      <w:r>
        <w:t xml:space="preserve">Créditos Velotax têm validade de 6 meses, contados a partir do resgate do código.</w:t>
      </w:r>
    </w:p>
    <w:p>
      <w:pPr>
        <w:numPr>
          <w:ilvl w:val="0"/>
          <w:numId w:val="1001"/>
        </w:numPr>
        <w:pStyle w:val="Compact"/>
      </w:pPr>
      <w:r>
        <w:t xml:space="preserve">Problemas na utilização/aceitação dos cupons após o resgate são tratados direto com o parceiro Vibe (0800 731 2500), fora do escopo do atendimento Velotax.</w:t>
      </w:r>
    </w:p>
    <w:bookmarkEnd w:id="21"/>
    <w:bookmarkStart w:id="22" w:name="passo-a-passo-da-contrataçãoutilização"/>
    <w:p>
      <w:pPr>
        <w:pStyle w:val="Heading2"/>
      </w:pPr>
      <w:r>
        <w:t xml:space="preserve">Passo a passo da contratação/utilização</w:t>
      </w:r>
    </w:p>
    <w:p>
      <w:pPr>
        <w:numPr>
          <w:ilvl w:val="0"/>
          <w:numId w:val="1002"/>
        </w:numPr>
        <w:pStyle w:val="Compact"/>
      </w:pPr>
      <w:r>
        <w:t xml:space="preserve">Identificar o motivo do contato: informações gerais, obtenção do código, resgate de créditos, código não recebido, código inválido, saldo/validade ou problema pós-resgate.</w:t>
      </w:r>
    </w:p>
    <w:p>
      <w:pPr>
        <w:numPr>
          <w:ilvl w:val="0"/>
          <w:numId w:val="1002"/>
        </w:numPr>
        <w:pStyle w:val="Compact"/>
      </w:pPr>
      <w:r>
        <w:t xml:space="preserve">Para obtenção/uso: orientar sobre geração automática do código e, no app, acessar área</w:t>
      </w:r>
      <w:r>
        <w:t xml:space="preserve"> </w:t>
      </w:r>
      <w:r>
        <w:t xml:space="preserve">“</w:t>
      </w:r>
      <w:r>
        <w:t xml:space="preserve">Cupons</w:t>
      </w:r>
      <w:r>
        <w:t xml:space="preserve">”</w:t>
      </w:r>
      <w:r>
        <w:t xml:space="preserve"> </w:t>
      </w:r>
      <w:r>
        <w:t xml:space="preserve">e inserir o código para liberar os 100 Créditos.</w:t>
      </w:r>
    </w:p>
    <w:p>
      <w:pPr>
        <w:numPr>
          <w:ilvl w:val="0"/>
          <w:numId w:val="1002"/>
        </w:numPr>
        <w:pStyle w:val="Compact"/>
      </w:pPr>
      <w:r>
        <w:t xml:space="preserve">Para código não recebido ou inválido: consultar CRM e StarkBank/Pagar.me para validar se a parcela foi quitada no vencimento e se o pagamento está confirmado.</w:t>
      </w:r>
    </w:p>
    <w:p>
      <w:pPr>
        <w:numPr>
          <w:ilvl w:val="0"/>
          <w:numId w:val="1002"/>
        </w:numPr>
        <w:pStyle w:val="Compact"/>
      </w:pPr>
      <w:r>
        <w:t xml:space="preserve">Parcela não quitada no vencimento: informar inelegibilidade e encerrar o atendimento.</w:t>
      </w:r>
    </w:p>
    <w:p>
      <w:pPr>
        <w:numPr>
          <w:ilvl w:val="0"/>
          <w:numId w:val="1002"/>
        </w:numPr>
        <w:pStyle w:val="Compact"/>
      </w:pPr>
      <w:r>
        <w:t xml:space="preserve">Pagamento não localizado nas consultas: solicitar comprovante ao cliente.</w:t>
      </w:r>
    </w:p>
    <w:p>
      <w:pPr>
        <w:numPr>
          <w:ilvl w:val="0"/>
          <w:numId w:val="1002"/>
        </w:numPr>
        <w:pStyle w:val="Compact"/>
      </w:pPr>
      <w:r>
        <w:t xml:space="preserve">Persistindo a inconsistência: abrir requisição/WorkFlow para o Suporte Técnico, anexar evidências e informar prazo de análise de até 24 horas úteis.</w:t>
      </w:r>
    </w:p>
    <w:bookmarkEnd w:id="22"/>
    <w:bookmarkStart w:id="23" w:name="reforçar-com-o-cliente"/>
    <w:p>
      <w:pPr>
        <w:pStyle w:val="Heading2"/>
      </w:pPr>
      <w:r>
        <w:t xml:space="preserve">Reforçar com o cliente</w:t>
      </w:r>
    </w:p>
    <w:p>
      <w:pPr>
        <w:numPr>
          <w:ilvl w:val="0"/>
          <w:numId w:val="1003"/>
        </w:numPr>
        <w:pStyle w:val="Compact"/>
      </w:pPr>
      <w:r>
        <w:t xml:space="preserve">Só geram Código de Resgate as parcelas quitadas exatamente na data do vencimento.</w:t>
      </w:r>
    </w:p>
    <w:p>
      <w:pPr>
        <w:numPr>
          <w:ilvl w:val="0"/>
          <w:numId w:val="1003"/>
        </w:numPr>
        <w:pStyle w:val="Compact"/>
      </w:pPr>
      <w:r>
        <w:t xml:space="preserve">O código só pode ser utilizado uma única vez.</w:t>
      </w:r>
    </w:p>
    <w:p>
      <w:pPr>
        <w:numPr>
          <w:ilvl w:val="0"/>
          <w:numId w:val="1003"/>
        </w:numPr>
        <w:pStyle w:val="Compact"/>
      </w:pPr>
      <w:r>
        <w:t xml:space="preserve">Créditos Velotax expiram em 6 meses a partir do resgate.</w:t>
      </w:r>
    </w:p>
    <w:p>
      <w:pPr>
        <w:numPr>
          <w:ilvl w:val="0"/>
          <w:numId w:val="1003"/>
        </w:numPr>
        <w:pStyle w:val="Compact"/>
      </w:pPr>
      <w:r>
        <w:t xml:space="preserve">Cancelamento/alteração do Empréstimo Pessoal, problemas de pagamento de parcela e questões pós-resgate com o parceiro Vibe não fazem parte deste atendimento.</w:t>
      </w:r>
    </w:p>
    <w:bookmarkEnd w:id="23"/>
    <w:bookmarkStart w:id="24" w:name="consulta-no-crm-e-tabulação"/>
    <w:p>
      <w:pPr>
        <w:pStyle w:val="Heading2"/>
      </w:pPr>
      <w:r>
        <w:t xml:space="preserve">Consulta no CRM e tabulação</w:t>
      </w:r>
    </w:p>
    <w:p>
      <w:pPr>
        <w:numPr>
          <w:ilvl w:val="0"/>
          <w:numId w:val="1004"/>
        </w:numPr>
        <w:pStyle w:val="Compact"/>
      </w:pPr>
      <w:r>
        <w:t xml:space="preserve">Consultar no CRM: histórico de atendimentos, parcelas do Empréstimo Pessoal, data de vencimento da parcela, saldo e validade dos Créditos Velotax.</w:t>
      </w:r>
    </w:p>
    <w:p>
      <w:pPr>
        <w:numPr>
          <w:ilvl w:val="0"/>
          <w:numId w:val="1004"/>
        </w:numPr>
        <w:pStyle w:val="Compact"/>
      </w:pPr>
      <w:r>
        <w:t xml:space="preserve">Validar confirmação de pagamento em StarkBank/Pagar.me quando necessário.</w:t>
      </w:r>
    </w:p>
    <w:p>
      <w:pPr>
        <w:numPr>
          <w:ilvl w:val="0"/>
          <w:numId w:val="1004"/>
        </w:numPr>
        <w:pStyle w:val="Compact"/>
      </w:pPr>
      <w:r>
        <w:t xml:space="preserve">Tabulação: Produto: Cupons &gt; Motivo: Como Utilizar (informações gerais, uso, saldo/validade) ou Motivo: Erros e Bugs (abertura de requisição ao Suporte Técnico).</w:t>
      </w:r>
    </w:p>
    <w:p>
      <w:pPr>
        <w:numPr>
          <w:ilvl w:val="0"/>
          <w:numId w:val="1004"/>
        </w:numPr>
        <w:pStyle w:val="Compact"/>
      </w:pPr>
      <w:r>
        <w:t xml:space="preserve">Registrar no CRM as orientações prestadas, consultas realizadas e requisições abertas ao encerrar o ticket.</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2026-08-20T19:01:29Z</dcterms:created>
  <dcterms:modified xsi:type="dcterms:W3CDTF">2026-08-20T19:01:29Z</dcterms:modified>
</cp:coreProperties>
</file>

<file path=docProps/custom.xml><?xml version="1.0" encoding="utf-8"?>
<Properties xmlns="http://schemas.openxmlformats.org/officeDocument/2006/custom-properties" xmlns:vt="http://schemas.openxmlformats.org/officeDocument/2006/docPropsVTypes"/>
</file>