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mpréstimo-pessoal---contratação"/>
    <w:p>
      <w:pPr>
        <w:pStyle w:val="Heading1"/>
      </w:pPr>
      <w:r>
        <w:t xml:space="preserve">Empréstimo Pessoal - Contratação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Orientação ao cliente durante o processo de contratação do Empréstimo Pessoal do Velotax, desde a checagem de elegibilidade até a formalização da CCB e liberação do valor. Aplica-se ao time de Atendimento.</w:t>
      </w:r>
    </w:p>
    <w:bookmarkEnd w:id="20"/>
    <w:bookmarkStart w:id="21" w:name="elegibilidade"/>
    <w:p>
      <w:pPr>
        <w:pStyle w:val="Heading2"/>
      </w:pPr>
      <w:r>
        <w:t xml:space="preserve">Elegibilidade</w:t>
      </w:r>
    </w:p>
    <w:p>
      <w:pPr>
        <w:numPr>
          <w:ilvl w:val="0"/>
          <w:numId w:val="1001"/>
        </w:numPr>
        <w:pStyle w:val="Compact"/>
      </w:pPr>
      <w:r>
        <w:t xml:space="preserve">Cliente deve ter entre 18 e 75 anos e não possuir contratação ativa de Empréstimo Pessoal (permitida apenas uma por vez).</w:t>
      </w:r>
    </w:p>
    <w:p>
      <w:pPr>
        <w:numPr>
          <w:ilvl w:val="0"/>
          <w:numId w:val="1001"/>
        </w:numPr>
        <w:pStyle w:val="Compact"/>
      </w:pPr>
      <w:r>
        <w:t xml:space="preserve">Consultar no CRM se o cliente está elegível, inelegível, com contrato em vigência ou contrato quitado.</w:t>
      </w:r>
    </w:p>
    <w:p>
      <w:pPr>
        <w:numPr>
          <w:ilvl w:val="0"/>
          <w:numId w:val="1001"/>
        </w:numPr>
        <w:pStyle w:val="Compact"/>
      </w:pPr>
      <w:r>
        <w:t xml:space="preserve">Se inelegível: informar o motivo apresentado no CRM (única fonte válida), orientar que a análise é automática e sugerir nova tentativa após 30 dias.</w:t>
      </w:r>
    </w:p>
    <w:bookmarkEnd w:id="21"/>
    <w:bookmarkStart w:id="22" w:name="passo-a-passo-da-contratação"/>
    <w:p>
      <w:pPr>
        <w:pStyle w:val="Heading2"/>
      </w:pPr>
      <w:r>
        <w:t xml:space="preserve">Passo a passo da contratação</w:t>
      </w:r>
    </w:p>
    <w:p>
      <w:pPr>
        <w:numPr>
          <w:ilvl w:val="0"/>
          <w:numId w:val="1002"/>
        </w:numPr>
        <w:pStyle w:val="Compact"/>
      </w:pPr>
      <w:r>
        <w:t xml:space="preserve">Identificar em qual etapa da contratação o cliente está e solicitar evidências quando houver divergência ou erro relatado.</w:t>
      </w:r>
    </w:p>
    <w:p>
      <w:pPr>
        <w:numPr>
          <w:ilvl w:val="0"/>
          <w:numId w:val="1002"/>
        </w:numPr>
        <w:pStyle w:val="Compact"/>
      </w:pPr>
      <w:r>
        <w:t xml:space="preserve">Validar conclusão do Open Finance: consentimento e compartilhamento de dados bancários são obrigatórios para a análise de crédito.</w:t>
      </w:r>
    </w:p>
    <w:p>
      <w:pPr>
        <w:numPr>
          <w:ilvl w:val="0"/>
          <w:numId w:val="1002"/>
        </w:numPr>
        <w:pStyle w:val="Compact"/>
      </w:pPr>
      <w:r>
        <w:t xml:space="preserve">Após o Open Finance, a análise pode ficar em processamento por até 5 minutos (prazo informado pelo app).</w:t>
      </w:r>
    </w:p>
    <w:p>
      <w:pPr>
        <w:numPr>
          <w:ilvl w:val="0"/>
          <w:numId w:val="1002"/>
        </w:numPr>
        <w:pStyle w:val="Compact"/>
      </w:pPr>
      <w:r>
        <w:t xml:space="preserve">Concluída a análise, validar se as condições da proposta foram exibidas e se o cliente avançou até a formalização.</w:t>
      </w:r>
    </w:p>
    <w:p>
      <w:pPr>
        <w:numPr>
          <w:ilvl w:val="0"/>
          <w:numId w:val="1002"/>
        </w:numPr>
        <w:pStyle w:val="Compact"/>
      </w:pPr>
      <w:r>
        <w:t xml:space="preserve">Verificar existência e vigência da CCB: se emitida, orientar sobre número, valor contratado, parcelas, vencimentos e data de desembolso; se não emitida, identificar em que etapa o processo parou.</w:t>
      </w:r>
    </w:p>
    <w:p>
      <w:pPr>
        <w:numPr>
          <w:ilvl w:val="0"/>
          <w:numId w:val="1002"/>
        </w:numPr>
        <w:pStyle w:val="Compact"/>
      </w:pPr>
      <w:r>
        <w:t xml:space="preserve">Contratação só se conclui com a assinatura da CCB; valor é liberado na chave Pix CPF do cliente entre 30 minutos e 24h após a confirmação.</w:t>
      </w:r>
    </w:p>
    <w:p>
      <w:pPr>
        <w:numPr>
          <w:ilvl w:val="0"/>
          <w:numId w:val="1002"/>
        </w:numPr>
        <w:pStyle w:val="Compact"/>
      </w:pPr>
      <w:r>
        <w:t xml:space="preserve">Divergências sistêmicas, inconsistências operacionais ou casos não previstos: abrir requisição para as áreas responsáveis (24h) e escalar à gestão quando recorrente ou crítico (imediato).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Consentimento do Open Finance é obrigatório e precisa ser concluído integralmente para a análise seguir.</w:t>
      </w:r>
    </w:p>
    <w:p>
      <w:pPr>
        <w:numPr>
          <w:ilvl w:val="0"/>
          <w:numId w:val="1003"/>
        </w:numPr>
        <w:pStyle w:val="Compact"/>
      </w:pPr>
      <w:r>
        <w:t xml:space="preserve">Análise de crédito é automática e o resultado é apresentado diretamente ao cliente no app.</w:t>
      </w:r>
    </w:p>
    <w:p>
      <w:pPr>
        <w:numPr>
          <w:ilvl w:val="0"/>
          <w:numId w:val="1003"/>
        </w:numPr>
        <w:pStyle w:val="Compact"/>
      </w:pPr>
      <w:r>
        <w:t xml:space="preserve">Em caso de reprovação, só é possível nova tentativa após 30 dias.</w:t>
      </w:r>
    </w:p>
    <w:p>
      <w:pPr>
        <w:numPr>
          <w:ilvl w:val="0"/>
          <w:numId w:val="1003"/>
        </w:numPr>
        <w:pStyle w:val="Compact"/>
      </w:pPr>
      <w:r>
        <w:t xml:space="preserve">Pagamento antecipado de parcelas não garante aumento de limite ou nova aprovação de crédito.</w:t>
      </w:r>
    </w:p>
    <w:p>
      <w:pPr>
        <w:numPr>
          <w:ilvl w:val="0"/>
          <w:numId w:val="1003"/>
        </w:numPr>
        <w:pStyle w:val="Compact"/>
      </w:pPr>
      <w:r>
        <w:t xml:space="preserve">Crédito é liberado apenas na conta vinculada à chave Pix CPF do cliente.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status do Open Finance, elegibilidade/motivo da inelegibilidade, status da contratação, número da CCB, valor depositado, valor total devido, data de desembolso, status do contrato, quantidade e status/valor das parcelas.</w:t>
      </w:r>
    </w:p>
    <w:p>
      <w:pPr>
        <w:numPr>
          <w:ilvl w:val="0"/>
          <w:numId w:val="1004"/>
        </w:numPr>
        <w:pStyle w:val="Compact"/>
      </w:pPr>
      <w:r>
        <w:t xml:space="preserve">Consultar o Velobot sempre que houver dúvida sobre o processo ou orientação ao cliente.</w:t>
      </w:r>
    </w:p>
    <w:p>
      <w:pPr>
        <w:numPr>
          <w:ilvl w:val="0"/>
          <w:numId w:val="1004"/>
        </w:numPr>
        <w:pStyle w:val="Compact"/>
      </w:pPr>
      <w:r>
        <w:t xml:space="preserve">Registrar a tabulação</w:t>
      </w:r>
      <w:r>
        <w:t xml:space="preserve"> </w:t>
      </w:r>
      <w:r>
        <w:t xml:space="preserve">“</w:t>
      </w:r>
      <w:r>
        <w:t xml:space="preserve">Produto: Empréstimo Pessoal &gt; Motivo: Informações para Contratação</w:t>
      </w:r>
      <w:r>
        <w:t xml:space="preserve">”</w:t>
      </w:r>
      <w:r>
        <w:t xml:space="preserve"> </w:t>
      </w:r>
      <w:r>
        <w:t xml:space="preserve">e encerrar a interação.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