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Aba Finanças (Open Finance)</w:t>
      </w:r>
    </w:p>
    <w:p>
      <w:pPr>
        <w:pStyle w:val="Heading2"/>
      </w:pPr>
      <w:r>
        <w:t>O que é e para que serve</w:t>
      </w:r>
    </w:p>
    <w:p>
      <w:pPr/>
      <w:r>
        <w:t>A aba Finanças do aplicativo Velotax (barra inferior: Para você · Crédito · Finanças · Cupons) junta as contas e os cartões do cliente em um só lugar, separa os gastos por categoria e mostra para onde vai o dinheiro. O cliente conecta os bancos pelo Open Finance (parceira Klavi), em modo somente leitura, e pode lançar à mão o que o banco não mostra. Este POP padroniza o atendimento sobre conexão, leitura das telas (saldo, extrato, cartões, assinaturas, orçamento e resumo do mês) e inconsistências. O Atendimento orienta com base na tela do cliente; falhas de conexão, leitura ou categorização são escaladas ao Suporte de Atendimento, que aciona o Suporte Técnico.</w:t>
      </w:r>
    </w:p>
    <w:p>
      <w:pPr>
        <w:pStyle w:val="Heading2"/>
      </w:pPr>
      <w:r>
        <w:t>Prazos do processo</w:t>
      </w:r>
    </w:p>
    <w:p>
      <w:pPr>
        <w:pStyle w:val="ListBullet"/>
      </w:pPr>
      <w:r>
        <w:t>Atendimento inicial (identificação, orientação, conferência pelo print e comunicação do resultado): imediato.</w:t>
      </w:r>
    </w:p>
    <w:p>
      <w:pPr>
        <w:pStyle w:val="ListBullet"/>
      </w:pPr>
      <w:r>
        <w:t>Conectar um banco: leva cerca de 2 minutos. Depois de conectar, o histórico mais antigo pode levar alguns minutos para aparecer todo.</w:t>
      </w:r>
    </w:p>
    <w:p>
      <w:pPr>
        <w:pStyle w:val="ListBullet"/>
      </w:pPr>
      <w:r>
        <w:t>Atualização dos dados: o cliente pode atualizar uma vez ao dia; a próxima atualização automática é no dia seguinte, às 7h.</w:t>
      </w:r>
    </w:p>
    <w:p>
      <w:pPr>
        <w:pStyle w:val="ListBullet"/>
      </w:pPr>
      <w:r>
        <w:t>Chamado escalado para o Suporte de Atendimento (que aciona o Suporte Técnico): 48 horas.</w:t>
      </w:r>
    </w:p>
    <w:p>
      <w:pPr>
        <w:pStyle w:val="Heading2"/>
      </w:pPr>
      <w:r>
        <w:t>Reforçar com o cliente</w:t>
      </w:r>
    </w:p>
    <w:p>
      <w:pPr>
        <w:pStyle w:val="ListBullet"/>
      </w:pPr>
      <w:r>
        <w:t>A conexão é somente leitura: a Velotax não movimenta nada na conta do cliente, e ninguém pode fazer transações.</w:t>
      </w:r>
    </w:p>
    <w:p>
      <w:pPr>
        <w:pStyle w:val="ListBullet"/>
      </w:pPr>
      <w:r>
        <w:t>É grátis, com quantos bancos o cliente quiser, e ele desconecta quando quiser, no app da Velotax ou no app do banco.</w:t>
      </w:r>
    </w:p>
    <w:p>
      <w:pPr>
        <w:pStyle w:val="ListBullet"/>
      </w:pPr>
      <w:r>
        <w:t>CRÍTICO: a conexão é autorizada pelo próprio cliente no app do banco. Ninguém da Velotax pede senha, código ou acesso ao app do banco para conectar ou desconectar.</w:t>
      </w:r>
    </w:p>
    <w:p>
      <w:pPr>
        <w:pStyle w:val="ListBullet"/>
      </w:pPr>
      <w:r>
        <w:t>Se o cliente estranhar o nome Klavi no app do banco: é a parceira de Open Finance da Velotax, e esse é o nome que aparece no banco.</w:t>
      </w:r>
    </w:p>
    <w:p>
      <w:pPr>
        <w:pStyle w:val="ListBullet"/>
      </w:pPr>
      <w:r>
        <w:t>Ao conectar, o cliente ainda precisa tocar em "Autorizar e ver minha proposta" na página da Klavi e depois em "Finalizar". Banco fora da lista: "Não encontrei meu banco" cria uma conta à mão.</w:t>
      </w:r>
    </w:p>
    <w:p>
      <w:pPr>
        <w:pStyle w:val="ListBullet"/>
      </w:pPr>
      <w:r>
        <w:t>Gasto no Pix, no débito ou no cartão chega sozinho pelo banco; o que foi em dinheiro o cliente lança em "Novo lançamento" &gt; Saiu. Saque e transferência entre contas devem ir em "Entre contas" e não contam como gasto.</w:t>
      </w:r>
    </w:p>
    <w:p>
      <w:pPr>
        <w:pStyle w:val="ListBullet"/>
      </w:pPr>
      <w:r>
        <w:t>Caixinhas e renda fixa aparecem em "Guardado · fora do saldo" e não entram no saldo do topo.</w:t>
      </w:r>
    </w:p>
    <w:p>
      <w:pPr>
        <w:pStyle w:val="ListBullet"/>
      </w:pPr>
      <w:r>
        <w:t>Uma assinatura entra na lista quando a cobrança aparece em 2 meses; antes disso o cliente pode adicioná-la à mão.</w:t>
      </w:r>
    </w:p>
    <w:p>
      <w:pPr>
        <w:pStyle w:val="ListBullet"/>
      </w:pPr>
      <w:r>
        <w:t>O Orçamento vem preenchido com a média dos 3 meses anteriores e o cliente ajusta. "Faltou" no resumo significa que saiu mais do que entrou nas contas conectadas.</w:t>
      </w:r>
    </w:p>
    <w:p>
      <w:pPr>
        <w:pStyle w:val="ListBullet"/>
      </w:pPr>
      <w:r>
        <w:t>Valores, datas e bancos do manual são exemplos: orientar sempre pela tela do cliente (pedir print).</w:t>
      </w:r>
    </w:p>
    <w:p>
      <w:pPr>
        <w:pStyle w:val="Heading2"/>
      </w:pPr>
      <w:r>
        <w:t>Consulta no CRM e tabulação</w:t>
      </w:r>
    </w:p>
    <w:p>
      <w:pPr>
        <w:pStyle w:val="ListBullet"/>
      </w:pPr>
      <w:r>
        <w:t>Consultar no CRM: histórico de atendimentos, dados cadastrais do cliente e solicitações já tratadas. Pedir ao cliente: print da tela, bancos conectados (Gerenciar &gt; Contas conectadas), mês selecionado e horário da última atualização.</w:t>
      </w:r>
    </w:p>
    <w:p>
      <w:pPr>
        <w:pStyle w:val="ListBullet"/>
      </w:pPr>
      <w:r>
        <w:t>Se o cliente relatar pedido de senha, código ou acesso ao app do banco (inclusive por alguém que se diga da Velotax): reforçar a regra de segurança, orientar a não informar nada e seguir o procedimento de fraude.</w:t>
      </w:r>
    </w:p>
    <w:p>
      <w:pPr>
        <w:pStyle w:val="ListBullet"/>
      </w:pPr>
      <w:r>
        <w:t>Se as validações disponíveis no Atendimento bastarem: orientar o cliente e encerrar o atendimento (tabulação para esse caso ainda a definir pelo time).</w:t>
      </w:r>
    </w:p>
    <w:p>
      <w:pPr>
        <w:pStyle w:val="ListBullet"/>
      </w:pPr>
      <w:r>
        <w:t>Se não bastarem: solicitar as evidências, registrar o escalonamento ao Suporte de Atendimento (retorno em 48 horas) e, após o retorno, encerrar com a tabulação Produto: Velo Indica &gt; Motivo: Erro/Bug (conforme o POP).</w:t>
      </w:r>
    </w:p>
    <w:p>
      <w:pPr>
        <w:pStyle w:val="ListBullet"/>
      </w:pPr>
      <w:r>
        <w:t>Registrar no CRM as orientações prestadas, as consultas feitas e os escalonamentos efetuados.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