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xcnibe6s7fl" w:id="0"/>
      <w:bookmarkEnd w:id="0"/>
      <w:r w:rsidDel="00000000" w:rsidR="00000000" w:rsidRPr="00000000">
        <w:rPr>
          <w:rtl w:val="0"/>
        </w:rPr>
        <w:t xml:space="preserve">Informe de Coyuntura: Análisis Político, Institucional y Social Post-Electoral</w:t>
      </w:r>
    </w:p>
    <w:p w:rsidR="00000000" w:rsidDel="00000000" w:rsidP="00000000" w:rsidRDefault="00000000" w:rsidRPr="00000000" w14:paraId="00000002">
      <w:pPr>
        <w:pStyle w:val="Heading4"/>
        <w:rPr/>
      </w:pPr>
      <w:bookmarkStart w:colFirst="0" w:colLast="0" w:name="_vzysdn20bns1"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Este documento sintetiza los puntos clave del análisis realizado sobre la situación política actual en el Perú tras la victoria electoral de Keiko Fujimori. Se identifican tres ejes fundamentales: la transición hacia un gobierno de "derecha institucional" liderado por Fujimori, la crisis legal y administrativa en torno a la renuncia de Rafael López Aliaga al Senado, y un debate profundo sobre la ética de la inteligencia estatal frente a la seguridad nacional. El análisis subraya un cambio en el paradigma de la comunicación, donde las plataformas digitales desplazan a los medios tradicionales, y se plantea la necesidad de reformas estructurales en los sistemas judicial y electoral para garantizar la estabilidad del nuevo periodo gubernamental.</w:t>
      </w:r>
    </w:p>
    <w:p w:rsidR="00000000" w:rsidDel="00000000" w:rsidP="00000000" w:rsidRDefault="00000000" w:rsidRPr="00000000" w14:paraId="00000004">
      <w:pPr>
        <w:pStyle w:val="Heading4"/>
        <w:rPr/>
      </w:pPr>
      <w:bookmarkStart w:colFirst="0" w:colLast="0" w:name="_t9jxm27em86q" w:id="2"/>
      <w:bookmarkEnd w:id="2"/>
      <w:r w:rsidDel="00000000" w:rsidR="00000000" w:rsidRPr="00000000">
        <w:rPr>
          <w:rtl w:val="0"/>
        </w:rPr>
        <w:t xml:space="preserve">1. El Nuevo Liderazgo de Keiko Fujimori y la Herencia Política</w:t>
      </w:r>
    </w:p>
    <w:p w:rsidR="00000000" w:rsidDel="00000000" w:rsidP="00000000" w:rsidRDefault="00000000" w:rsidRPr="00000000" w14:paraId="00000005">
      <w:pPr>
        <w:rPr/>
      </w:pPr>
      <w:r w:rsidDel="00000000" w:rsidR="00000000" w:rsidRPr="00000000">
        <w:rPr>
          <w:rtl w:val="0"/>
        </w:rPr>
        <w:t xml:space="preserve">El análisis de las fuentes revela una transición significativa en el perfil político de Keiko Fujimori, marcando distancias tácticas e institucionales respecto al gobierno de su padre, Alberto Fujimori.</w:t>
      </w:r>
    </w:p>
    <w:p w:rsidR="00000000" w:rsidDel="00000000" w:rsidP="00000000" w:rsidRDefault="00000000" w:rsidRPr="00000000" w14:paraId="00000006">
      <w:pPr>
        <w:pStyle w:val="Heading5"/>
        <w:rPr/>
      </w:pPr>
      <w:bookmarkStart w:colFirst="0" w:colLast="0" w:name="_g2b71svxbn3u" w:id="3"/>
      <w:bookmarkEnd w:id="3"/>
      <w:r w:rsidDel="00000000" w:rsidR="00000000" w:rsidRPr="00000000">
        <w:rPr>
          <w:rtl w:val="0"/>
        </w:rPr>
        <w:t xml:space="preserve">Diferenciación Estratégica e Institucional</w:t>
      </w:r>
    </w:p>
    <w:p w:rsidR="00000000" w:rsidDel="00000000" w:rsidP="00000000" w:rsidRDefault="00000000" w:rsidRPr="00000000" w14:paraId="00000007">
      <w:pPr>
        <w:rPr/>
      </w:pPr>
      <w:r w:rsidDel="00000000" w:rsidR="00000000" w:rsidRPr="00000000">
        <w:rPr>
          <w:rtl w:val="0"/>
        </w:rPr>
        <w:t xml:space="preserve">Keiko Fujimori se presenta como una figura "más política y cuajada" debido a su trayectoria como primera dama, congresista y líder partidaria. Las fuentes destacan los siguientes puntos de su postura actual:</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Respeto al Estado de Derecho:</w:t>
      </w:r>
      <w:r w:rsidDel="00000000" w:rsidR="00000000" w:rsidRPr="00000000">
        <w:rPr>
          <w:rtl w:val="0"/>
        </w:rPr>
        <w:t xml:space="preserve">  A diferencia del pragmatismo de los años 90, Fujimori enfatiza una visión institucional y de respeto a la democracia.</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Construcción de Legado:</w:t>
      </w:r>
      <w:r w:rsidDel="00000000" w:rsidR="00000000" w:rsidRPr="00000000">
        <w:rPr>
          <w:rtl w:val="0"/>
        </w:rPr>
        <w:t xml:space="preserve">  Su objetivo es formalizar a Fuerza Popular como un partido que perdure más allá del apellido Fujimori.</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Relación con los Medios:</w:t>
      </w:r>
      <w:r w:rsidDel="00000000" w:rsidR="00000000" w:rsidRPr="00000000">
        <w:rPr>
          <w:rtl w:val="0"/>
        </w:rPr>
        <w:t xml:space="preserve">  Reconoce como errores del pasado la mala relación con la prensa y la falta de institucionalidad en las decisiones de su padre.</w:t>
      </w:r>
    </w:p>
    <w:p w:rsidR="00000000" w:rsidDel="00000000" w:rsidP="00000000" w:rsidRDefault="00000000" w:rsidRPr="00000000" w14:paraId="0000000B">
      <w:pPr>
        <w:pStyle w:val="Heading5"/>
        <w:rPr/>
      </w:pPr>
      <w:bookmarkStart w:colFirst="0" w:colLast="0" w:name="_qb1h0k9sz2t0" w:id="4"/>
      <w:bookmarkEnd w:id="4"/>
      <w:r w:rsidDel="00000000" w:rsidR="00000000" w:rsidRPr="00000000">
        <w:rPr>
          <w:rtl w:val="0"/>
        </w:rPr>
        <w:t xml:space="preserve">Comparativa de Contextos Históricos</w:t>
      </w:r>
    </w:p>
    <w:p w:rsidR="00000000" w:rsidDel="00000000" w:rsidP="00000000" w:rsidRDefault="00000000" w:rsidRPr="00000000" w14:paraId="0000000C">
      <w:pPr>
        <w:rPr/>
      </w:pPr>
      <w:r w:rsidDel="00000000" w:rsidR="00000000" w:rsidRPr="00000000">
        <w:rPr>
          <w:rtl w:val="0"/>
        </w:rPr>
        <w:t xml:space="preserve">Se establece una distinción clara entre el Perú que recibió Alberto Fujimori y el que recibirá Keiko:</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Década de los 90:</w:t>
      </w:r>
      <w:r w:rsidDel="00000000" w:rsidR="00000000" w:rsidRPr="00000000">
        <w:rPr>
          <w:rtl w:val="0"/>
        </w:rPr>
        <w:t xml:space="preserve">  País colapsado por el terrorismo (Sendero Luminoso y MRTA), hiperinflación del 7,000%, empresas estatales ineficientes y aislamiento internacional.</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Contexto Actual:</w:t>
      </w:r>
      <w:r w:rsidDel="00000000" w:rsidR="00000000" w:rsidRPr="00000000">
        <w:rPr>
          <w:rtl w:val="0"/>
        </w:rPr>
        <w:t xml:space="preserve">  Estabilidad monetaria, ausencia de grupos terroristas con control territorial y una economía integrada al mundo.</w:t>
      </w:r>
    </w:p>
    <w:p w:rsidR="00000000" w:rsidDel="00000000" w:rsidP="00000000" w:rsidRDefault="00000000" w:rsidRPr="00000000" w14:paraId="0000000F">
      <w:pPr>
        <w:pStyle w:val="Heading4"/>
        <w:rPr/>
      </w:pPr>
      <w:bookmarkStart w:colFirst="0" w:colLast="0" w:name="_f6y6lx5refb8" w:id="5"/>
      <w:bookmarkEnd w:id="5"/>
      <w:r w:rsidDel="00000000" w:rsidR="00000000" w:rsidRPr="00000000">
        <w:rPr>
          <w:rtl w:val="0"/>
        </w:rPr>
        <w:t xml:space="preserve">2. La Controversia de Rafael López Aliaga (RLA) y la Renuncia al Senado</w:t>
      </w:r>
    </w:p>
    <w:p w:rsidR="00000000" w:rsidDel="00000000" w:rsidP="00000000" w:rsidRDefault="00000000" w:rsidRPr="00000000" w14:paraId="00000010">
      <w:pPr>
        <w:rPr/>
      </w:pPr>
      <w:r w:rsidDel="00000000" w:rsidR="00000000" w:rsidRPr="00000000">
        <w:rPr>
          <w:rtl w:val="0"/>
        </w:rPr>
        <w:t xml:space="preserve">Uno de los temas centrales es la insistencia de Rafael López Aliaga en renunciar a su cargo de senador para postular o mantenerse en la esfera municipal de Lima, lo que genera un conflicto interpretativo de la Constitución.</w:t>
      </w:r>
    </w:p>
    <w:p w:rsidR="00000000" w:rsidDel="00000000" w:rsidP="00000000" w:rsidRDefault="00000000" w:rsidRPr="00000000" w14:paraId="00000011">
      <w:pPr>
        <w:pStyle w:val="Heading5"/>
        <w:rPr/>
      </w:pPr>
      <w:bookmarkStart w:colFirst="0" w:colLast="0" w:name="_q5t7gjjjl1wz" w:id="6"/>
      <w:bookmarkEnd w:id="6"/>
      <w:r w:rsidDel="00000000" w:rsidR="00000000" w:rsidRPr="00000000">
        <w:rPr>
          <w:rtl w:val="0"/>
        </w:rPr>
        <w:t xml:space="preserve">El Argumento de la Irrenunciabilidad</w:t>
      </w:r>
    </w:p>
    <w:p w:rsidR="00000000" w:rsidDel="00000000" w:rsidP="00000000" w:rsidRDefault="00000000" w:rsidRPr="00000000" w14:paraId="00000012">
      <w:pPr>
        <w:rPr/>
      </w:pPr>
      <w:r w:rsidDel="00000000" w:rsidR="00000000" w:rsidRPr="00000000">
        <w:rPr>
          <w:rtl w:val="0"/>
        </w:rPr>
        <w:t xml:space="preserve">La discusión técnica se centra en si el cargo de senador es renunciable antes de la juramentación:</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Postura de RLA:</w:t>
      </w:r>
      <w:r w:rsidDel="00000000" w:rsidR="00000000" w:rsidRPr="00000000">
        <w:rPr>
          <w:rtl w:val="0"/>
        </w:rPr>
        <w:t xml:space="preserve">  Sostiene que no es senador hasta que jura el cargo. Al no presentar sus declaraciones juradas ni la documentación exigida por el reglamento del Congreso, considera que su credencial debe quedar sin efecto.</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Análisis Legal:</w:t>
      </w:r>
      <w:r w:rsidDel="00000000" w:rsidR="00000000" w:rsidRPr="00000000">
        <w:rPr>
          <w:rtl w:val="0"/>
        </w:rPr>
        <w:t xml:space="preserve">  La Constitución señala que el cargo de senador es irrenunciable e incompatible con otras funciones. Existe una discrepancia sobre si la condición de "elegido" (proclamado por el JNE) ya otorga la investidura, independientemente del acto protocolar de la juramentación.</w:t>
      </w:r>
    </w:p>
    <w:p w:rsidR="00000000" w:rsidDel="00000000" w:rsidP="00000000" w:rsidRDefault="00000000" w:rsidRPr="00000000" w14:paraId="00000015">
      <w:pPr>
        <w:pStyle w:val="Heading5"/>
        <w:rPr/>
      </w:pPr>
      <w:bookmarkStart w:colFirst="0" w:colLast="0" w:name="_297quyu1f0o4" w:id="7"/>
      <w:bookmarkEnd w:id="7"/>
      <w:r w:rsidDel="00000000" w:rsidR="00000000" w:rsidRPr="00000000">
        <w:rPr>
          <w:rtl w:val="0"/>
        </w:rPr>
        <w:t xml:space="preserve">El Caso de Trato Desigual</w:t>
      </w:r>
    </w:p>
    <w:p w:rsidR="00000000" w:rsidDel="00000000" w:rsidP="00000000" w:rsidRDefault="00000000" w:rsidRPr="00000000" w14:paraId="00000016">
      <w:pPr>
        <w:rPr/>
      </w:pPr>
      <w:r w:rsidDel="00000000" w:rsidR="00000000" w:rsidRPr="00000000">
        <w:rPr>
          <w:rtl w:val="0"/>
        </w:rPr>
        <w:t xml:space="preserve">Se menciona el caso de  </w:t>
      </w:r>
      <w:r w:rsidDel="00000000" w:rsidR="00000000" w:rsidRPr="00000000">
        <w:rPr>
          <w:b w:val="1"/>
          <w:bCs w:val="1"/>
          <w:rtl w:val="0"/>
        </w:rPr>
        <w:t xml:space="preserve">Aldo Bravo</w:t>
      </w:r>
      <w:r w:rsidDel="00000000" w:rsidR="00000000" w:rsidRPr="00000000">
        <w:rPr>
          <w:rtl w:val="0"/>
        </w:rPr>
        <w:t xml:space="preserve"> , quien fue admitido como regidor a pesar de ser diputado electo, lo que RLA utiliza para denunciar un trato arbitrario por parte de la justicia electoral (JNE/JEE).| Situación | Implicancia Legal según el Análisis || ------ | ------ || </w:t>
      </w:r>
      <w:r w:rsidDel="00000000" w:rsidR="00000000" w:rsidRPr="00000000">
        <w:rPr>
          <w:b w:val="1"/>
          <w:bCs w:val="1"/>
          <w:rtl w:val="0"/>
        </w:rPr>
        <w:t xml:space="preserve">Senador Electo</w:t>
      </w:r>
      <w:r w:rsidDel="00000000" w:rsidR="00000000" w:rsidRPr="00000000">
        <w:rPr>
          <w:rtl w:val="0"/>
        </w:rPr>
        <w:t xml:space="preserve"> | Proclamado por el JNE; el cargo se considera irrenunciable. || </w:t>
      </w:r>
      <w:r w:rsidDel="00000000" w:rsidR="00000000" w:rsidRPr="00000000">
        <w:rPr>
          <w:b w:val="1"/>
          <w:bCs w:val="1"/>
          <w:rtl w:val="0"/>
        </w:rPr>
        <w:t xml:space="preserve">Senador en Funciones</w:t>
      </w:r>
      <w:r w:rsidDel="00000000" w:rsidR="00000000" w:rsidRPr="00000000">
        <w:rPr>
          <w:rtl w:val="0"/>
        </w:rPr>
        <w:t xml:space="preserve"> | Estado tras la juramentación el 27 de julio. || </w:t>
      </w:r>
      <w:r w:rsidDel="00000000" w:rsidR="00000000" w:rsidRPr="00000000">
        <w:rPr>
          <w:b w:val="1"/>
          <w:bCs w:val="1"/>
          <w:rtl w:val="0"/>
        </w:rPr>
        <w:t xml:space="preserve">Conflicto de Interés</w:t>
      </w:r>
      <w:r w:rsidDel="00000000" w:rsidR="00000000" w:rsidRPr="00000000">
        <w:rPr>
          <w:rtl w:val="0"/>
        </w:rPr>
        <w:t xml:space="preserve"> | La postulación a regidor o teniente alcalde es vista como improcedente por la incompatibilidad de cargos. |</w:t>
      </w:r>
    </w:p>
    <w:p w:rsidR="00000000" w:rsidDel="00000000" w:rsidP="00000000" w:rsidRDefault="00000000" w:rsidRPr="00000000" w14:paraId="00000017">
      <w:pPr>
        <w:pStyle w:val="Heading4"/>
        <w:rPr/>
      </w:pPr>
      <w:bookmarkStart w:colFirst="0" w:colLast="0" w:name="_cd61xkpiumf3" w:id="8"/>
      <w:bookmarkEnd w:id="8"/>
      <w:r w:rsidDel="00000000" w:rsidR="00000000" w:rsidRPr="00000000">
        <w:rPr>
          <w:rtl w:val="0"/>
        </w:rPr>
        <w:t xml:space="preserve">3. Seguridad Nacional, Inteligencia y Justicia</w:t>
      </w:r>
    </w:p>
    <w:p w:rsidR="00000000" w:rsidDel="00000000" w:rsidP="00000000" w:rsidRDefault="00000000" w:rsidRPr="00000000" w14:paraId="00000018">
      <w:pPr>
        <w:rPr/>
      </w:pPr>
      <w:r w:rsidDel="00000000" w:rsidR="00000000" w:rsidRPr="00000000">
        <w:rPr>
          <w:rtl w:val="0"/>
        </w:rPr>
        <w:t xml:space="preserve">El documento examina la defensa de los métodos de inteligencia aplicados en la lucha contra el terrorismo y las demandas de reformas en el sistema de justicia.</w:t>
      </w:r>
    </w:p>
    <w:p w:rsidR="00000000" w:rsidDel="00000000" w:rsidP="00000000" w:rsidRDefault="00000000" w:rsidRPr="00000000" w14:paraId="00000019">
      <w:pPr>
        <w:pStyle w:val="Heading5"/>
        <w:rPr/>
      </w:pPr>
      <w:bookmarkStart w:colFirst="0" w:colLast="0" w:name="_eejmbqkvatau" w:id="9"/>
      <w:bookmarkEnd w:id="9"/>
      <w:r w:rsidDel="00000000" w:rsidR="00000000" w:rsidRPr="00000000">
        <w:rPr>
          <w:rtl w:val="0"/>
        </w:rPr>
        <w:t xml:space="preserve">La Ética de la Inteligencia vs. Moral Civil</w:t>
      </w:r>
    </w:p>
    <w:p w:rsidR="00000000" w:rsidDel="00000000" w:rsidP="00000000" w:rsidRDefault="00000000" w:rsidRPr="00000000" w14:paraId="0000001A">
      <w:pPr>
        <w:rPr/>
      </w:pPr>
      <w:r w:rsidDel="00000000" w:rsidR="00000000" w:rsidRPr="00000000">
        <w:rPr>
          <w:rtl w:val="0"/>
        </w:rPr>
        <w:t xml:space="preserve">Se argumenta que la lucha contra el terrorismo exige acciones que "pueden parecer inmorales pero son necesarias". Los puntos clave incluyen: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Control de la Información:</w:t>
      </w:r>
      <w:r w:rsidDel="00000000" w:rsidR="00000000" w:rsidRPr="00000000">
        <w:rPr>
          <w:rtl w:val="0"/>
        </w:rPr>
        <w:t xml:space="preserve">  Justificación del uso de medios de comunicación para distraer a la población y evitar el pánico social generado por atentados.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Operaciones Especiales:</w:t>
      </w:r>
      <w:r w:rsidDel="00000000" w:rsidR="00000000" w:rsidRPr="00000000">
        <w:rPr>
          <w:rtl w:val="0"/>
        </w:rPr>
        <w:t xml:space="preserve">  Defensa de tácticas extremas (como en el rescate de la Embajada de Japón) que incluyen secuestros temporales de operarios o uso de recursos no convencionales para el éxito de la misión.</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Amnistía Militar:</w:t>
      </w:r>
      <w:r w:rsidDel="00000000" w:rsidR="00000000" w:rsidRPr="00000000">
        <w:rPr>
          <w:rtl w:val="0"/>
        </w:rPr>
        <w:t xml:space="preserve">  Existe un llamado explícito a promover leyes de amnistía para militares y figuras de inteligencia (incluyendo a Montesinos y el Grupo Colina) que participaron en la lucha antisubversiva, bajo el argumento de que "ya pagaron" y su aporte al país fue mayor que sus delitos.</w:t>
      </w:r>
    </w:p>
    <w:p w:rsidR="00000000" w:rsidDel="00000000" w:rsidP="00000000" w:rsidRDefault="00000000" w:rsidRPr="00000000" w14:paraId="0000001E">
      <w:pPr>
        <w:pStyle w:val="Heading5"/>
        <w:rPr/>
      </w:pPr>
      <w:bookmarkStart w:colFirst="0" w:colLast="0" w:name="_mytdrtme4wba" w:id="10"/>
      <w:bookmarkEnd w:id="10"/>
      <w:r w:rsidDel="00000000" w:rsidR="00000000" w:rsidRPr="00000000">
        <w:rPr>
          <w:rtl w:val="0"/>
        </w:rPr>
        <w:t xml:space="preserve">Cuestionamientos a la Fiscalía y Figuras de Izquierda</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Gustavo Gorriti:</w:t>
      </w:r>
      <w:r w:rsidDel="00000000" w:rsidR="00000000" w:rsidRPr="00000000">
        <w:rPr>
          <w:rtl w:val="0"/>
        </w:rPr>
        <w:t xml:space="preserve">  Se menciona que su situación legal es precaria tras el informe final de la comisión que investigó el caso Odebrecht, recomendando denuncias penales en su contra.</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Reforma Judicial:</w:t>
      </w:r>
      <w:r w:rsidDel="00000000" w:rsidR="00000000" w:rsidRPr="00000000">
        <w:rPr>
          <w:rtl w:val="0"/>
        </w:rPr>
        <w:t xml:space="preserve">  El análisis sugiere que sin una reforma total de la fiscalía y el sistema judicial, el nuevo gobierno enfrentará obstáculos constantes de la oposición.</w:t>
      </w:r>
    </w:p>
    <w:p w:rsidR="00000000" w:rsidDel="00000000" w:rsidP="00000000" w:rsidRDefault="00000000" w:rsidRPr="00000000" w14:paraId="00000021">
      <w:pPr>
        <w:pStyle w:val="Heading4"/>
        <w:rPr/>
      </w:pPr>
      <w:bookmarkStart w:colFirst="0" w:colLast="0" w:name="_69eqc41clkyu" w:id="11"/>
      <w:bookmarkEnd w:id="11"/>
      <w:r w:rsidDel="00000000" w:rsidR="00000000" w:rsidRPr="00000000">
        <w:rPr>
          <w:rtl w:val="0"/>
        </w:rPr>
        <w:t xml:space="preserve">4. Evolución de los Medios y la Comunicación Política</w:t>
      </w:r>
    </w:p>
    <w:p w:rsidR="00000000" w:rsidDel="00000000" w:rsidP="00000000" w:rsidRDefault="00000000" w:rsidRPr="00000000" w14:paraId="00000022">
      <w:pPr>
        <w:rPr/>
      </w:pPr>
      <w:r w:rsidDel="00000000" w:rsidR="00000000" w:rsidRPr="00000000">
        <w:rPr>
          <w:rtl w:val="0"/>
        </w:rPr>
        <w:t xml:space="preserve">Las fuentes señalan un cambio irreversible en cómo se consume y produce información política en el Perú.</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Decadencia de la TV Abierta:</w:t>
      </w:r>
      <w:r w:rsidDel="00000000" w:rsidR="00000000" w:rsidRPr="00000000">
        <w:rPr>
          <w:rtl w:val="0"/>
        </w:rPr>
        <w:t xml:space="preserve">  Se percibe a la televisión tradicional como un medio "muerto" que no ha sabido adaptarse a la interacción en tiempo real.</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Auge de YouTube y Redes Sociales:</w:t>
      </w:r>
      <w:r w:rsidDel="00000000" w:rsidR="00000000" w:rsidRPr="00000000">
        <w:rPr>
          <w:rtl w:val="0"/>
        </w:rPr>
        <w:t xml:space="preserve">  Plataformas como YouTube permiten romper el "monopolio de la verdad". Se destaca el éxito de la campaña de Javier Milei en Argentina como modelo de cómo los creadores de contenido pueden influir más que los medios masivos.</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Cine Nacional:</w:t>
      </w:r>
      <w:r w:rsidDel="00000000" w:rsidR="00000000" w:rsidRPr="00000000">
        <w:rPr>
          <w:rtl w:val="0"/>
        </w:rPr>
        <w:t xml:space="preserve">  Se discute la precariedad de la industria cinematográfica local (mencionando películas realizadas con presupuestos mínimos de 10,000 dólares) y la necesidad de apoyo del público para mejorar la calidad de las producciones sin depender de subsidios estatales.</w:t>
      </w:r>
    </w:p>
    <w:p w:rsidR="00000000" w:rsidDel="00000000" w:rsidP="00000000" w:rsidRDefault="00000000" w:rsidRPr="00000000" w14:paraId="00000026">
      <w:pPr>
        <w:pStyle w:val="Heading4"/>
        <w:rPr/>
      </w:pPr>
      <w:bookmarkStart w:colFirst="0" w:colLast="0" w:name="_3gccgzex844s" w:id="12"/>
      <w:bookmarkEnd w:id="12"/>
      <w:r w:rsidDel="00000000" w:rsidR="00000000" w:rsidRPr="00000000">
        <w:rPr>
          <w:rtl w:val="0"/>
        </w:rPr>
        <w:t xml:space="preserve">5. Visiones Sociales y Crítica Cultural</w:t>
      </w:r>
    </w:p>
    <w:p w:rsidR="00000000" w:rsidDel="00000000" w:rsidP="00000000" w:rsidRDefault="00000000" w:rsidRPr="00000000" w14:paraId="00000027">
      <w:pPr>
        <w:rPr/>
      </w:pPr>
      <w:r w:rsidDel="00000000" w:rsidR="00000000" w:rsidRPr="00000000">
        <w:rPr>
          <w:rtl w:val="0"/>
        </w:rPr>
        <w:t xml:space="preserve">El documento recoge perspectivas sobre la identidad y las dinámicas sociales en el entorno político:</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Discriminación y Discernimiento:</w:t>
      </w:r>
      <w:r w:rsidDel="00000000" w:rsidR="00000000" w:rsidRPr="00000000">
        <w:rPr>
          <w:rtl w:val="0"/>
        </w:rPr>
        <w:t xml:space="preserve">  Se plantea una redefinición del término "discriminar", vinculándolo positivamente con la capacidad de discernir o elegir en la vida cotidiana.</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Clasismo en Lima:</w:t>
      </w:r>
      <w:r w:rsidDel="00000000" w:rsidR="00000000" w:rsidRPr="00000000">
        <w:rPr>
          <w:rtl w:val="0"/>
        </w:rPr>
        <w:t xml:space="preserve">  Se observa que el electorado limeño, incluso en los sectores periféricos ("conos"), mantiene una tendencia clasista al elegir autoridades, prefiriendo perfiles que no sean percibidos como "huachafos" o vinculados a la delincuencia.</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Reacción de la Izquierda:</w:t>
      </w:r>
      <w:r w:rsidDel="00000000" w:rsidR="00000000" w:rsidRPr="00000000">
        <w:rPr>
          <w:rtl w:val="0"/>
        </w:rPr>
        <w:t xml:space="preserve">  Se anticipa una oposición agresiva por parte de sectores de izquierda frente al gobierno de Fujimori, con posibles protestas y tomas de instituciones, lo que requerirá "mano dura" y respaldo político a las fuerzas del orden.</w:t>
      </w:r>
    </w:p>
    <w:p w:rsidR="00000000" w:rsidDel="00000000" w:rsidP="00000000" w:rsidRDefault="00000000" w:rsidRPr="00000000" w14:paraId="0000002B">
      <w:pPr>
        <w:pStyle w:val="Heading4"/>
        <w:rPr/>
      </w:pPr>
      <w:bookmarkStart w:colFirst="0" w:colLast="0" w:name="_ezutp1x40jo" w:id="13"/>
      <w:bookmarkEnd w:id="13"/>
      <w:r w:rsidDel="00000000" w:rsidR="00000000" w:rsidRPr="00000000">
        <w:rPr>
          <w:rtl w:val="0"/>
        </w:rPr>
        <w:t xml:space="preserve">Conclusión</w:t>
      </w:r>
    </w:p>
    <w:p w:rsidR="00000000" w:rsidDel="00000000" w:rsidP="00000000" w:rsidRDefault="00000000" w:rsidRPr="00000000" w14:paraId="0000002C">
      <w:pPr>
        <w:rPr/>
      </w:pPr>
      <w:r w:rsidDel="00000000" w:rsidR="00000000" w:rsidRPr="00000000">
        <w:rPr>
          <w:rtl w:val="0"/>
        </w:rPr>
        <w:t xml:space="preserve">El Perú se encamina hacia un periodo de gobierno marcado por la institucionalización del fujimorismo y una lucha por definir la legalidad de los cargos de elección popular. La efectividad de Keiko Fujimori dependerá de su capacidad para reformar el sistema judicial, mantener el orden frente a la oposición social y cumplir con su promesa de un modelo de seguridad basado en la autoridad y la eficiencia de la inteligencia estatal.</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