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300"/>
        <w:jc w:val="center"/>
      </w:pPr>
      <w:r>
        <w:rPr>
          <w:rFonts w:ascii="Calibri" w:cs="Calibri" w:eastAsia="Calibri" w:hAnsi="Calibri"/>
          <w:b/>
          <w:bCs/>
          <w:sz w:val="36"/>
          <w:szCs w:val="36"/>
        </w:rPr>
        <w:t xml:space="preserve">Zero-Downtime Blue-Green Deployment Framework for Containerised Microservices Using Ansible and Nginx</w:t>
      </w:r>
    </w:p>
    <w:p>
      <w:pPr>
        <w:spacing w:after="600"/>
        <w:jc w:val="center"/>
      </w:pPr>
      <w:r>
        <w:rPr>
          <w:rFonts w:ascii="Calibri" w:cs="Calibri" w:eastAsia="Calibri" w:hAnsi="Calibri"/>
          <w:i/>
          <w:iCs/>
          <w:color w:val="444444"/>
          <w:sz w:val="26"/>
          <w:szCs w:val="26"/>
        </w:rPr>
        <w:t xml:space="preserve">Design, Implementation, and Empirical Evaluation of Automated Traffic Switching, Rollback, and Downtime Measurement</w:t>
      </w:r>
    </w:p>
    <w:p>
      <w:pPr>
        <w:spacing w:after="80"/>
        <w:jc w:val="center"/>
      </w:pPr>
      <w:r>
        <w:rPr>
          <w:rFonts w:ascii="Calibri" w:cs="Calibri" w:eastAsia="Calibri" w:hAnsi="Calibri"/>
          <w:b/>
          <w:bCs/>
          <w:sz w:val="24"/>
          <w:szCs w:val="24"/>
        </w:rPr>
        <w:t xml:space="preserve">Nitheesh Vemula</w:t>
      </w:r>
    </w:p>
    <w:p>
      <w:pPr>
        <w:spacing w:after="40"/>
        <w:jc w:val="center"/>
      </w:pPr>
      <w:r>
        <w:rPr>
          <w:rFonts w:ascii="Calibri" w:cs="Calibri" w:eastAsia="Calibri" w:hAnsi="Calibri"/>
          <w:sz w:val="22"/>
          <w:szCs w:val="22"/>
        </w:rPr>
        <w:t xml:space="preserve">International Institute of Information Technology, Bangalore (IIIT-B)</w:t>
      </w:r>
    </w:p>
    <w:p>
      <w:pPr>
        <w:spacing w:after="700"/>
        <w:jc w:val="center"/>
      </w:pPr>
      <w:r>
        <w:rPr>
          <w:rFonts w:ascii="Calibri" w:cs="Calibri" w:eastAsia="Calibri" w:hAnsi="Calibri"/>
          <w:sz w:val="22"/>
          <w:szCs w:val="22"/>
        </w:rPr>
        <w:t xml:space="preserve">July 2026</w:t>
      </w:r>
    </w:p>
    <w:p>
      <w:pPr>
        <w:spacing w:after="100"/>
        <w:jc w:val="center"/>
      </w:pPr>
      <w:r>
        <w:rPr>
          <w:rFonts w:ascii="Calibri" w:cs="Calibri" w:eastAsia="Calibri" w:hAnsi="Calibri"/>
          <w:color w:val="666666"/>
          <w:sz w:val="20"/>
          <w:szCs w:val="20"/>
        </w:rPr>
        <w:t xml:space="preserve">Project reference: P08 — Cloud / DevOps / Infrastructure</w:t>
      </w:r>
    </w:p>
    <w:p>
      <w:pPr>
        <w:jc w:val="center"/>
      </w:pPr>
      <w:r>
        <w:rPr>
          <w:rFonts w:ascii="Calibri" w:cs="Calibri" w:eastAsia="Calibri" w:hAnsi="Calibri"/>
          <w:color w:val="666666"/>
          <w:sz w:val="20"/>
          <w:szCs w:val="20"/>
        </w:rPr>
        <w:t xml:space="preserve">Topics: Ansible · Docker · Nginx · Blue-Green Deployment</w:t>
      </w:r>
    </w:p>
    <w:p>
      <w:pPr>
        <w:spacing w:before="900"/>
      </w:pPr>
    </w:p>
    <w:p>
      <w:pPr>
        <w:pStyle w:val="Heading1"/>
        <w:spacing w:after="140" w:before="280"/>
      </w:pPr>
      <w:r>
        <w:rPr>
          <w:rFonts w:ascii="Calibri" w:cs="Calibri" w:eastAsia="Calibri" w:hAnsi="Calibri"/>
        </w:rPr>
        <w:t xml:space="preserve">Abstract</w:t>
      </w:r>
    </w:p>
    <w:p>
      <w:pPr>
        <w:spacing w:after="160"/>
        <w:jc w:val="both"/>
      </w:pPr>
      <w:r>
        <w:rPr>
          <w:rFonts w:ascii="Calibri" w:cs="Calibri" w:eastAsia="Calibri" w:hAnsi="Calibri"/>
          <w:sz w:val="22"/>
          <w:szCs w:val="22"/>
        </w:rPr>
        <w:t xml:space="preserve">Blue-green deployment is a widely referenced strategy for eliminating downtime during service releases, yet many practitioner implementations report deployment duration or Nginx reload time as a proxy for “downtime” without directly measuring client-observed request failures. This paper presents a declarative, role-based Ansible framework for blue-green deployment of a three-service Spring Boot microservice application, fronted by a two-tier Nginx gateway and orchestrated through idempotent, reusable Ansible roles. The framework adds two capabilities not commonly found together in existing tutorials: (1) automated rollback, triggered from within the deployment playbook itself via block/rescue error handling with configurable health-check and verification thresholds, and a companion manual rollback playbook for reverting a deployment that passed its checks but misbehaved under live traffic; and (2) a dedicated downtime-measurement harness, combining a constant-rate wrk2 load generator against the live business endpoints with a custom Python request-level probe sampling at approximately 20 ms resolution, that distinguishes deployment time, Nginx upstream-switch time, and actual client-observed downtime as three separate, independently reported metrics. Across five independent deployment runs, the measured client-observed downtime was 0 ms with a 100% request success rate at the gateway health-check endpoints, while the Nginx traffic switch itself completed in 2.3–3.5 seconds and full deployments (build, health-check, switch, drain, cleanup) completed in 55–61 seconds. A secondary investigation, prompted by an elevated request-timeout rate (7–14%) observed by wrk2 against the live business endpoints during deployment, was root-caused through container-level CPU profiling and a controlled steady-state control experiment: the timeouts are caused by CPU contention between the outgoing and incoming environments during their brief simultaneous operation on an 8-core host — not by the deployment mechanism, application code, or gateway configuration. With no deployment in progress, the identical workload sustained the full 50 req/s target rate with zero socket errors. This finding is reported as a second, independent contribution: a quantified account of the transient resource cost that blue-green deployment imposes on resource-constrained hosts, alongside the confirmed zero-downtime result for the switch mechanism itself.</w:t>
      </w:r>
    </w:p>
    <w:p>
      <w:pPr>
        <w:spacing w:after="160"/>
        <w:jc w:val="both"/>
      </w:pPr>
      <w:r>
        <w:rPr>
          <w:rFonts w:ascii="Calibri" w:cs="Calibri" w:eastAsia="Calibri" w:hAnsi="Calibri"/>
          <w:i/>
          <w:iCs/>
          <w:sz w:val="22"/>
          <w:szCs w:val="22"/>
        </w:rPr>
        <w:t xml:space="preserve">Keywords: Blue-Green Deployment · Zero-Downtime · Ansible · Nginx · Docker · Microservices · Automated Rollback · wrk2 · Load Testing</w:t>
      </w:r>
    </w:p>
    <w:p>
      <w:pPr>
        <w:sectPr>
          <w:pgSz w:w="12240" w:h="15840" w:orient="portrait"/>
          <w:pgMar w:top="1440" w:right="1440" w:bottom="1440" w:left="1440" w:header="708" w:footer="708" w:gutter="0"/>
          <w:pgNumType/>
          <w:docGrid w:linePitch="360"/>
        </w:sectPr>
      </w:pPr>
    </w:p>
    <w:p>
      <w:pPr>
        <w:pStyle w:val="Heading1"/>
        <w:spacing w:after="140" w:before="280"/>
      </w:pPr>
      <w:r>
        <w:rPr>
          <w:rFonts w:ascii="Calibri" w:cs="Calibri" w:eastAsia="Calibri" w:hAnsi="Calibri"/>
        </w:rPr>
        <w:t xml:space="preserve">1. Introduction</w:t>
      </w:r>
    </w:p>
    <w:p>
      <w:pPr>
        <w:spacing w:after="160"/>
        <w:jc w:val="both"/>
      </w:pPr>
      <w:r>
        <w:rPr>
          <w:rFonts w:ascii="Calibri" w:cs="Calibri" w:eastAsia="Calibri" w:hAnsi="Calibri"/>
          <w:sz w:val="22"/>
          <w:szCs w:val="22"/>
        </w:rPr>
        <w:t xml:space="preserve">Modern web-facing systems are expected to release new versions continuously while remaining available to users. Blue-green deployment addresses this by keeping two identical environments — conventionally labelled blue and green — where one serves live production traffic while the other is idle or receiving a new release. Once the idle environment passes health checks, a router is repointed to it, and the previously live environment is retired. In principle this eliminates downtime; in practice, most published blue-green tutorials substantiate that claim only indirectly, by timing the deployment pipeline or the router reload step, rather than by directly counting failed or dropped client requests during the cut-over window.</w:t>
      </w:r>
    </w:p>
    <w:p>
      <w:pPr>
        <w:spacing w:after="160"/>
        <w:jc w:val="both"/>
      </w:pPr>
      <w:r>
        <w:rPr>
          <w:rFonts w:ascii="Calibri" w:cs="Calibri" w:eastAsia="Calibri" w:hAnsi="Calibri"/>
          <w:sz w:val="22"/>
          <w:szCs w:val="22"/>
        </w:rPr>
        <w:t xml:space="preserve">This project set out to close that gap for a concrete system: a three-service Spring Boot e-commerce prototype (product, inventory, and order services) fronted by Nginx, deployed with Ansible, and switched between blue and green Docker Compose stacks. The work makes four contributions:</w:t>
      </w:r>
    </w:p>
    <w:p>
      <w:pPr>
        <w:pStyle w:val="ListParagraph"/>
        <w:numPr>
          <w:ilvl w:val="0"/>
          <w:numId w:val="2"/>
        </w:numPr>
        <w:spacing w:after="80"/>
      </w:pPr>
      <w:r>
        <w:rPr>
          <w:rFonts w:ascii="Calibri" w:cs="Calibri" w:eastAsia="Calibri" w:hAnsi="Calibri"/>
          <w:sz w:val="22"/>
          <w:szCs w:val="22"/>
        </w:rPr>
        <w:t xml:space="preserve">A reusable, idempotent Ansible role library that factors the deployment workflow into seven single-purpose roles (detect_environment, build_images, start_stack, health_check, switch_traffic, drain_requests, rollback), replacing three earlier flat, duplicated playbooks.</w:t>
      </w:r>
    </w:p>
    <w:p>
      <w:pPr>
        <w:pStyle w:val="ListParagraph"/>
        <w:numPr>
          <w:ilvl w:val="0"/>
          <w:numId w:val="2"/>
        </w:numPr>
        <w:spacing w:after="80"/>
      </w:pPr>
      <w:r>
        <w:rPr>
          <w:rFonts w:ascii="Calibri" w:cs="Calibri" w:eastAsia="Calibri" w:hAnsi="Calibri"/>
          <w:sz w:val="22"/>
          <w:szCs w:val="22"/>
        </w:rPr>
        <w:t xml:space="preserve">Automated rollback, implemented with Ansible's block/rescue error-handling construct so that any failure during a deployment — a bad image, a health check that never turns green, a broken API after the switch — automatically reverts traffic to the last known-good environment, plus a separate manual rollback playbook for the case where a deployment passes its checks but misbehaves under real traffic afterward.</w:t>
      </w:r>
    </w:p>
    <w:p>
      <w:pPr>
        <w:pStyle w:val="ListParagraph"/>
        <w:numPr>
          <w:ilvl w:val="0"/>
          <w:numId w:val="2"/>
        </w:numPr>
        <w:spacing w:after="80"/>
      </w:pPr>
      <w:r>
        <w:rPr>
          <w:rFonts w:ascii="Calibri" w:cs="Calibri" w:eastAsia="Calibri" w:hAnsi="Calibri"/>
          <w:sz w:val="22"/>
          <w:szCs w:val="22"/>
        </w:rPr>
        <w:t xml:space="preserve">Configurable health-check, verification, and drain thresholds, centralised in a single variables file and overridable per run via Ansible extra-vars, rather than hard-coded inside task files.</w:t>
      </w:r>
    </w:p>
    <w:p>
      <w:pPr>
        <w:pStyle w:val="ListParagraph"/>
        <w:numPr>
          <w:ilvl w:val="0"/>
          <w:numId w:val="2"/>
        </w:numPr>
        <w:spacing w:after="80"/>
      </w:pPr>
      <w:r>
        <w:rPr>
          <w:rFonts w:ascii="Calibri" w:cs="Calibri" w:eastAsia="Calibri" w:hAnsi="Calibri"/>
          <w:sz w:val="22"/>
          <w:szCs w:val="22"/>
        </w:rPr>
        <w:t xml:space="preserve">A downtime-measurement harness that separates three distinct, previously conflated metrics — total deployment time, Nginx upstream-switch time, and actual client-observed downtime — using a constant-rate wrk2 load generator alongside a custom millisecond-resolution Python request probe.</w:t>
      </w:r>
    </w:p>
    <w:p>
      <w:pPr>
        <w:spacing w:after="160"/>
        <w:jc w:val="both"/>
      </w:pPr>
      <w:r>
        <w:rPr>
          <w:rFonts w:ascii="Calibri" w:cs="Calibri" w:eastAsia="Calibri" w:hAnsi="Calibri"/>
          <w:sz w:val="22"/>
          <w:szCs w:val="22"/>
        </w:rPr>
        <w:t xml:space="preserve">The remainder of this paper describes the system architecture (Section 2), the implementation of the deployment, rollback, and measurement components (Section 3), the experimental setup (Section 4), the results obtained over three independent deployment runs (Section 5), and a discussion of limitations and threats to validity (Section 6), including a secondary finding that is reported honestly rather than omitted.</w:t>
      </w:r>
    </w:p>
    <w:p>
      <w:pPr>
        <w:pStyle w:val="Heading1"/>
        <w:spacing w:after="140" w:before="280"/>
      </w:pPr>
      <w:r>
        <w:rPr>
          <w:rFonts w:ascii="Calibri" w:cs="Calibri" w:eastAsia="Calibri" w:hAnsi="Calibri"/>
        </w:rPr>
        <w:t xml:space="preserve">2. System Architecture</w:t>
      </w:r>
    </w:p>
    <w:p>
      <w:pPr>
        <w:spacing w:after="160"/>
        <w:jc w:val="both"/>
      </w:pPr>
      <w:r>
        <w:rPr>
          <w:rFonts w:ascii="Calibri" w:cs="Calibri" w:eastAsia="Calibri" w:hAnsi="Calibri"/>
          <w:sz w:val="22"/>
          <w:szCs w:val="22"/>
        </w:rPr>
        <w:t xml:space="preserve">The application under test is a small e-commerce prototype composed of three independently deployable Spring Boot services — product, inventory, and order — each with its own MySQL schema, Actuator health endpoint, and a lightweight in-process request counter (an active-request gauge exposed at /monitor/active-requests) used to detect when in-flight requests have finished during drain.</w:t>
      </w:r>
    </w:p>
    <w:p>
      <w:pPr>
        <w:spacing w:after="160"/>
        <w:jc w:val="both"/>
      </w:pPr>
      <w:r>
        <w:rPr>
          <w:rFonts w:ascii="Calibri" w:cs="Calibri" w:eastAsia="Calibri" w:hAnsi="Calibri"/>
          <w:sz w:val="22"/>
          <w:szCs w:val="22"/>
        </w:rPr>
        <w:t xml:space="preserve">Traffic reaches the services through a two-tier Nginx topology, shown below:</w:t>
      </w:r>
    </w:p>
    <w:tbl>
      <w:tblPr>
        <w:tblW w:type="pct" w:w="100%"/>
        <w:tblBorders>
          <w:top w:val="single" w:color="999999" w:sz="4"/>
          <w:left w:val="single" w:color="999999" w:sz="4"/>
          <w:bottom w:val="single" w:color="999999" w:sz="4"/>
          <w:right w:val="single" w:color="999999" w:sz="4"/>
          <w:insideH w:val="none"/>
          <w:insideV w:val="none"/>
        </w:tblBorders>
      </w:tblPr>
      <w:tblGrid>
        <w:gridCol w:w="100"/>
      </w:tblGrid>
      <w:tr>
        <w:tc>
          <w:tcPr>
            <w:shd w:fill="F2F2F2" w:val="clear"/>
            <w:tcMar>
              <w:top w:type="dxa" w:w="160"/>
              <w:left w:type="dxa" w:w="200"/>
              <w:bottom w:type="dxa" w:w="160"/>
              <w:right w:type="dxa" w:w="200"/>
            </w:tcMar>
          </w:tcPr>
          <w:p>
            <w:pPr>
              <w:spacing w:after="0"/>
            </w:pPr>
            <w:r>
              <w:rPr>
                <w:rFonts w:ascii="Consolas" w:cs="Consolas" w:eastAsia="Consolas" w:hAnsi="Consolas"/>
                <w:sz w:val="18"/>
                <w:szCs w:val="18"/>
              </w:rPr>
              <w:t xml:space="preserve">Client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w:t>
            </w:r>
          </w:p>
          <w:p>
            <w:pPr>
              <w:spacing w:after="0"/>
            </w:pPr>
            <w:r>
              <w:rPr>
                <w:rFonts w:ascii="Consolas" w:cs="Consolas" w:eastAsia="Consolas" w:hAnsi="Consolas"/>
                <w:sz w:val="18"/>
                <w:szCs w:val="18"/>
              </w:rPr>
              <w:t xml:space="preserve">Public Nginx  (localhost:8090)</w:t>
            </w:r>
          </w:p>
          <w:p>
            <w:pPr>
              <w:spacing w:after="0"/>
            </w:pPr>
            <w:r>
              <w:rPr>
                <w:rFonts w:ascii="Consolas" w:cs="Consolas" w:eastAsia="Consolas" w:hAnsi="Consolas"/>
                <w:sz w:val="18"/>
                <w:szCs w:val="18"/>
              </w:rPr>
              <w:t xml:space="preserve">  - single upstream: internal-gateway-&lt;colour&gt;</w:t>
            </w:r>
          </w:p>
          <w:p>
            <w:pPr>
              <w:spacing w:after="0"/>
            </w:pPr>
            <w:r>
              <w:rPr>
                <w:rFonts w:ascii="Consolas" w:cs="Consolas" w:eastAsia="Consolas" w:hAnsi="Consolas"/>
                <w:sz w:val="18"/>
                <w:szCs w:val="18"/>
              </w:rPr>
              <w:t xml:space="preserve">  - upstream.conf is the ONLY thing that changes on switch</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w:t>
            </w:r>
          </w:p>
          <w:p>
            <w:pPr>
              <w:spacing w:after="0"/>
            </w:pPr>
            <w:r>
              <w:rPr>
                <w:rFonts w:ascii="Consolas" w:cs="Consolas" w:eastAsia="Consolas" w:hAnsi="Consolas"/>
                <w:sz w:val="18"/>
                <w:szCs w:val="18"/>
              </w:rPr>
              <w:t xml:space="preserve">Internal Gateway  (colour-specific: blue OR green)</w:t>
            </w:r>
          </w:p>
          <w:p>
            <w:pPr>
              <w:spacing w:after="0"/>
            </w:pPr>
            <w:r>
              <w:rPr>
                <w:rFonts w:ascii="Consolas" w:cs="Consolas" w:eastAsia="Consolas" w:hAnsi="Consolas"/>
                <w:sz w:val="18"/>
                <w:szCs w:val="18"/>
              </w:rPr>
              <w:t xml:space="preserve">  - routes /api/v1/products    -&gt; product-service-&lt;colour&gt;:8081</w:t>
            </w:r>
          </w:p>
          <w:p>
            <w:pPr>
              <w:spacing w:after="0"/>
            </w:pPr>
            <w:r>
              <w:rPr>
                <w:rFonts w:ascii="Consolas" w:cs="Consolas" w:eastAsia="Consolas" w:hAnsi="Consolas"/>
                <w:sz w:val="18"/>
                <w:szCs w:val="18"/>
              </w:rPr>
              <w:t xml:space="preserve">  - routes /api/v1/inventories -&gt; inventory-service-&lt;colour&gt;:8082</w:t>
            </w:r>
          </w:p>
          <w:p>
            <w:pPr>
              <w:spacing w:after="0"/>
            </w:pPr>
            <w:r>
              <w:rPr>
                <w:rFonts w:ascii="Consolas" w:cs="Consolas" w:eastAsia="Consolas" w:hAnsi="Consolas"/>
                <w:sz w:val="18"/>
                <w:szCs w:val="18"/>
              </w:rPr>
              <w:t xml:space="preserve">  - routes /api/v1/orders      -&gt; order-service-&lt;colour&gt;:8083</w:t>
            </w:r>
          </w:p>
          <w:p>
            <w:pPr>
              <w:spacing w:after="0"/>
            </w:pPr>
            <w:r>
              <w:rPr>
                <w:rFonts w:ascii="Consolas" w:cs="Consolas" w:eastAsia="Consolas" w:hAnsi="Consolas"/>
                <w:sz w:val="18"/>
                <w:szCs w:val="18"/>
              </w:rPr>
              <w:t xml:space="preserve">  - routes /actuator/*/health  -&gt; per-service Actuator health</w:t>
            </w:r>
          </w:p>
          <w:p>
            <w:pPr>
              <w:spacing w:after="0"/>
            </w:pPr>
            <w:r>
              <w:rPr>
                <w:rFonts w:ascii="Consolas" w:cs="Consolas" w:eastAsia="Consolas" w:hAnsi="Consolas"/>
                <w:sz w:val="18"/>
                <w:szCs w:val="18"/>
              </w:rPr>
              <w:t xml:space="preserve">  - routes /monitor/*          -&gt; per-service active-request count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w:t>
            </w:r>
          </w:p>
          <w:p>
            <w:pPr>
              <w:spacing w:after="0"/>
            </w:pPr>
            <w:r>
              <w:rPr>
                <w:rFonts w:ascii="Consolas" w:cs="Consolas" w:eastAsia="Consolas" w:hAnsi="Consolas"/>
                <w:sz w:val="18"/>
                <w:szCs w:val="18"/>
              </w:rPr>
              <w:t xml:space="preserve">product-service-&lt;colour&gt;  inventory-service-&lt;colour&gt;  order-service-&lt;colour&gt;</w:t>
            </w:r>
          </w:p>
          <w:p>
            <w:pPr>
              <w:spacing w:after="0"/>
            </w:pPr>
            <w:r>
              <w:rPr>
                <w:rFonts w:ascii="Consolas" w:cs="Consolas" w:eastAsia="Consolas" w:hAnsi="Consolas"/>
                <w:sz w:val="18"/>
                <w:szCs w:val="18"/>
              </w:rPr>
              <w:t xml:space="preserve">  |                          |                            |</w:t>
            </w:r>
          </w:p>
          <w:p>
            <w:pPr>
              <w:spacing w:after="0"/>
            </w:pPr>
            <w:r>
              <w:rPr>
                <w:rFonts w:ascii="Consolas" w:cs="Consolas" w:eastAsia="Consolas" w:hAnsi="Consolas"/>
                <w:sz w:val="18"/>
                <w:szCs w:val="18"/>
              </w:rPr>
              <w:t xml:space="preserve">  +----------- shared MySQL (separate schema per service) --+</w:t>
            </w:r>
          </w:p>
        </w:tc>
      </w:tr>
    </w:tbl>
    <w:p>
      <w:pPr>
        <w:spacing w:after="240" w:before="80"/>
        <w:jc w:val="center"/>
      </w:pPr>
      <w:r>
        <w:rPr>
          <w:rFonts w:ascii="Calibri" w:cs="Calibri" w:eastAsia="Calibri" w:hAnsi="Calibri"/>
          <w:i/>
          <w:iCs/>
          <w:color w:val="555555"/>
          <w:sz w:val="18"/>
          <w:szCs w:val="18"/>
        </w:rPr>
        <w:t xml:space="preserve">Figure 1. Two-tier gateway topology. The public Nginx layer holds exactly one mutable line — the upstream target — which is what the switch step rewrites.</w:t>
      </w:r>
    </w:p>
    <w:p>
      <w:pPr>
        <w:spacing w:after="160"/>
        <w:jc w:val="both"/>
      </w:pPr>
      <w:r>
        <w:rPr>
          <w:rFonts w:ascii="Calibri" w:cs="Calibri" w:eastAsia="Calibri" w:hAnsi="Calibri"/>
          <w:sz w:val="22"/>
          <w:szCs w:val="22"/>
        </w:rPr>
        <w:t xml:space="preserve">This two-tier design keeps the blue-green switch to a single, small, mechanically verifiable change: the public Nginx upstream is rewritten from internal-gateway-blue to internal-gateway-green (or vice versa) and Nginx is reloaded. Everything else — building images, starting containers, health-checking, draining — happens against the colour-specific internal gateway and does not touch the public-facing configuration until the target colour is already confirmed healthy.</w:t>
      </w:r>
    </w:p>
    <w:p>
      <w:pPr>
        <w:pStyle w:val="Heading1"/>
        <w:spacing w:after="140" w:before="280"/>
      </w:pPr>
      <w:r>
        <w:rPr>
          <w:rFonts w:ascii="Calibri" w:cs="Calibri" w:eastAsia="Calibri" w:hAnsi="Calibri"/>
        </w:rPr>
        <w:t xml:space="preserve">3. Implementation</w:t>
      </w:r>
    </w:p>
    <w:p>
      <w:pPr>
        <w:pStyle w:val="Heading2"/>
        <w:spacing w:after="140" w:before="280"/>
      </w:pPr>
      <w:r>
        <w:rPr>
          <w:rFonts w:ascii="Calibri" w:cs="Calibri" w:eastAsia="Calibri" w:hAnsi="Calibri"/>
        </w:rPr>
        <w:t xml:space="preserve">3.1 Ansible Role Library</w:t>
      </w:r>
    </w:p>
    <w:p>
      <w:pPr>
        <w:spacing w:after="160"/>
        <w:jc w:val="both"/>
      </w:pPr>
      <w:r>
        <w:rPr>
          <w:rFonts w:ascii="Calibri" w:cs="Calibri" w:eastAsia="Calibri" w:hAnsi="Calibri"/>
          <w:sz w:val="22"/>
          <w:szCs w:val="22"/>
        </w:rPr>
        <w:t xml:space="preserve">The deployment logic was refactored out of three duplicated flat playbooks into seven single-responsibility roles:</w:t>
      </w:r>
    </w:p>
    <w:tbl>
      <w:tblPr>
        <w:tblW w:type="pct" w:w="100%"/>
        <w:tblBorders>
          <w:top w:val="single" w:color="AAAAAA" w:sz="4"/>
          <w:left w:val="single" w:color="AAAAAA" w:sz="4"/>
          <w:bottom w:val="single" w:color="AAAAAA" w:sz="4"/>
          <w:right w:val="single" w:color="AAAAAA" w:sz="4"/>
          <w:insideH w:val="single" w:color="AAAAAA" w:sz="4"/>
          <w:insideV w:val="single" w:color="AAAAAA" w:sz="4"/>
        </w:tblBorders>
      </w:tblPr>
      <w:tblGrid>
        <w:gridCol w:w="144"/>
        <w:gridCol w:w="396"/>
      </w:tblGrid>
      <w:tr>
        <w:trPr>
          <w:tblHeader/>
        </w:trPr>
        <w:tc>
          <w:tcPr>
            <w:tcW w:type="pct" w:w="1.6%"/>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Role</w:t>
            </w:r>
          </w:p>
        </w:tc>
        <w:tc>
          <w:tcPr>
            <w:tcW w:type="pct" w:w="4.4%"/>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Responsibility</w:t>
            </w:r>
          </w:p>
        </w:tc>
      </w:tr>
      <w:tr>
        <w:tc>
          <w:tcPr>
            <w:tcW w:type="pct" w:w="1.6%"/>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detect_environment</w:t>
            </w:r>
          </w:p>
        </w:tc>
        <w:tc>
          <w:tcPr>
            <w:tcW w:type="pct" w:w="4.4%"/>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Reads nginx/conf.d/upstream.conf and sets active_environment / target_environment facts. Read-only, idempotent.</w:t>
            </w:r>
          </w:p>
        </w:tc>
      </w:tr>
      <w:tr>
        <w:tc>
          <w:tcPr>
            <w:tcW w:type="pct" w:w="1.6%"/>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build_images</w:t>
            </w:r>
          </w:p>
        </w:tc>
        <w:tc>
          <w:tcPr>
            <w:tcW w:type="pct" w:w="4.4%"/>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Packages the three Spring services (mvn package) and builds fresh Docker images tagged with the target colour.</w:t>
            </w:r>
          </w:p>
        </w:tc>
      </w:tr>
      <w:tr>
        <w:tc>
          <w:tcPr>
            <w:tcW w:type="pct" w:w="1.6%"/>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start_stack</w:t>
            </w:r>
          </w:p>
        </w:tc>
        <w:tc>
          <w:tcPr>
            <w:tcW w:type="pct" w:w="4.4%"/>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Starts shared infrastructure (MySQL, public Nginx) and the target colour's Docker Compose stack.</w:t>
            </w:r>
          </w:p>
        </w:tc>
      </w:tr>
      <w:tr>
        <w:tc>
          <w:tcPr>
            <w:tcW w:type="pct" w:w="1.6%"/>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health_check</w:t>
            </w:r>
          </w:p>
        </w:tc>
        <w:tc>
          <w:tcPr>
            <w:tcW w:type="pct" w:w="4.4%"/>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Polls each target-colour service's Docker HEALTHCHECK status and verifies internal-gateway routing, with configurable retries/delay.</w:t>
            </w:r>
          </w:p>
        </w:tc>
      </w:tr>
      <w:tr>
        <w:tc>
          <w:tcPr>
            <w:tcW w:type="pct" w:w="1.6%"/>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switch_traffic</w:t>
            </w:r>
          </w:p>
        </w:tc>
        <w:tc>
          <w:tcPr>
            <w:tcW w:type="pct" w:w="4.4%"/>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Rewrites upstream.conf, reloads Nginx, verifies the public API endpoints respond, and times the switch.</w:t>
            </w:r>
          </w:p>
        </w:tc>
      </w:tr>
      <w:tr>
        <w:tc>
          <w:tcPr>
            <w:tcW w:type="pct" w:w="1.6%"/>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drain_requests</w:t>
            </w:r>
          </w:p>
        </w:tc>
        <w:tc>
          <w:tcPr>
            <w:tcW w:type="pct" w:w="4.4%"/>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Polls the previous colour's /monitor/active-requests endpoint until in-flight requests reach zero before that colour is stopped.</w:t>
            </w:r>
          </w:p>
        </w:tc>
      </w:tr>
      <w:tr>
        <w:tc>
          <w:tcPr>
            <w:tcW w:type="pct" w:w="1.6%"/>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rollback</w:t>
            </w:r>
          </w:p>
        </w:tc>
        <w:tc>
          <w:tcPr>
            <w:tcW w:type="pct" w:w="4.4%"/>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Reverts upstream.conf to a known-good colour, reloads Nginx, re-verifies public APIs, optionally stops the failed colour, and writes a rollback report.</w:t>
            </w:r>
          </w:p>
        </w:tc>
      </w:tr>
    </w:tbl>
    <w:p>
      <w:pPr>
        <w:spacing w:after="160"/>
        <w:jc w:val="both"/>
      </w:pPr>
      <w:r>
        <w:rPr>
          <w:rFonts w:ascii="Calibri" w:cs="Calibri" w:eastAsia="Calibri" w:hAnsi="Calibri"/>
          <w:sz w:val="22"/>
          <w:szCs w:val="22"/>
        </w:rPr>
        <w:t xml:space="preserve"/>
      </w:r>
    </w:p>
    <w:p>
      <w:pPr>
        <w:spacing w:after="160"/>
        <w:jc w:val="both"/>
      </w:pPr>
      <w:r>
        <w:rPr>
          <w:rFonts w:ascii="Calibri" w:cs="Calibri" w:eastAsia="Calibri" w:hAnsi="Calibri"/>
          <w:sz w:val="22"/>
          <w:szCs w:val="22"/>
        </w:rPr>
        <w:t xml:space="preserve">Three top-level playbooks compose these roles: deploy-blue-green.yml (full build-and-switch), switch.yml (switch only, no rebuild), and rollback.yml (manual rollback). All configurable thresholds — health_check_retries, api_verify_retries, drain_retries, nginx_wait_retries, and their associated delays — live in a single ansible/vars/thresholds.yml file and can be overridden per invocation with --extra-vars, satisfying the requirement for configurable health-check thresholds without editing task files.</w:t>
      </w:r>
    </w:p>
    <w:p>
      <w:pPr>
        <w:pStyle w:val="Heading2"/>
        <w:spacing w:after="140" w:before="280"/>
      </w:pPr>
      <w:r>
        <w:rPr>
          <w:rFonts w:ascii="Calibri" w:cs="Calibri" w:eastAsia="Calibri" w:hAnsi="Calibri"/>
        </w:rPr>
        <w:t xml:space="preserve">3.2 Deployment Workflow</w:t>
      </w:r>
    </w:p>
    <w:p>
      <w:pPr>
        <w:spacing w:after="160"/>
        <w:jc w:val="both"/>
      </w:pPr>
      <w:r>
        <w:rPr>
          <w:rFonts w:ascii="Calibri" w:cs="Calibri" w:eastAsia="Calibri" w:hAnsi="Calibri"/>
          <w:sz w:val="22"/>
          <w:szCs w:val="22"/>
        </w:rPr>
        <w:t xml:space="preserve">A full deploy-blue-green.yml run executes the following sequence:</w:t>
      </w:r>
    </w:p>
    <w:p>
      <w:pPr>
        <w:pStyle w:val="ListParagraph"/>
        <w:numPr>
          <w:ilvl w:val="0"/>
          <w:numId w:val="2"/>
        </w:numPr>
        <w:spacing w:after="80"/>
      </w:pPr>
      <w:r>
        <w:rPr>
          <w:rFonts w:ascii="Calibri" w:cs="Calibri" w:eastAsia="Calibri" w:hAnsi="Calibri"/>
          <w:sz w:val="22"/>
          <w:szCs w:val="22"/>
        </w:rPr>
        <w:t xml:space="preserve">1. Detect the active and target colour from the current upstream configuration.</w:t>
      </w:r>
    </w:p>
    <w:p>
      <w:pPr>
        <w:pStyle w:val="ListParagraph"/>
        <w:numPr>
          <w:ilvl w:val="0"/>
          <w:numId w:val="2"/>
        </w:numPr>
        <w:spacing w:after="80"/>
      </w:pPr>
      <w:r>
        <w:rPr>
          <w:rFonts w:ascii="Calibri" w:cs="Calibri" w:eastAsia="Calibri" w:hAnsi="Calibri"/>
          <w:sz w:val="22"/>
          <w:szCs w:val="22"/>
        </w:rPr>
        <w:t xml:space="preserve">2. Build fresh images for the target colour (product, inventory, order, internal gateway).</w:t>
      </w:r>
    </w:p>
    <w:p>
      <w:pPr>
        <w:pStyle w:val="ListParagraph"/>
        <w:numPr>
          <w:ilvl w:val="0"/>
          <w:numId w:val="2"/>
        </w:numPr>
        <w:spacing w:after="80"/>
      </w:pPr>
      <w:r>
        <w:rPr>
          <w:rFonts w:ascii="Calibri" w:cs="Calibri" w:eastAsia="Calibri" w:hAnsi="Calibri"/>
          <w:sz w:val="22"/>
          <w:szCs w:val="22"/>
        </w:rPr>
        <w:t xml:space="preserve">3. Start shared infrastructure and the target colour's stack.</w:t>
      </w:r>
    </w:p>
    <w:p>
      <w:pPr>
        <w:pStyle w:val="ListParagraph"/>
        <w:numPr>
          <w:ilvl w:val="0"/>
          <w:numId w:val="2"/>
        </w:numPr>
        <w:spacing w:after="80"/>
      </w:pPr>
      <w:r>
        <w:rPr>
          <w:rFonts w:ascii="Calibri" w:cs="Calibri" w:eastAsia="Calibri" w:hAnsi="Calibri"/>
          <w:sz w:val="22"/>
          <w:szCs w:val="22"/>
        </w:rPr>
        <w:t xml:space="preserve">4. Poll target-colour health checks until all three services report healthy, or the configured retry budget is exhausted.</w:t>
      </w:r>
    </w:p>
    <w:p>
      <w:pPr>
        <w:pStyle w:val="ListParagraph"/>
        <w:numPr>
          <w:ilvl w:val="0"/>
          <w:numId w:val="2"/>
        </w:numPr>
        <w:spacing w:after="80"/>
      </w:pPr>
      <w:r>
        <w:rPr>
          <w:rFonts w:ascii="Calibri" w:cs="Calibri" w:eastAsia="Calibri" w:hAnsi="Calibri"/>
          <w:sz w:val="22"/>
          <w:szCs w:val="22"/>
        </w:rPr>
        <w:t xml:space="preserve">5. Switch the public Nginx upstream to the target colour, reload Nginx, and verify all three public API endpoints respond.</w:t>
      </w:r>
    </w:p>
    <w:p>
      <w:pPr>
        <w:pStyle w:val="ListParagraph"/>
        <w:numPr>
          <w:ilvl w:val="0"/>
          <w:numId w:val="2"/>
        </w:numPr>
        <w:spacing w:after="80"/>
      </w:pPr>
      <w:r>
        <w:rPr>
          <w:rFonts w:ascii="Calibri" w:cs="Calibri" w:eastAsia="Calibri" w:hAnsi="Calibri"/>
          <w:sz w:val="22"/>
          <w:szCs w:val="22"/>
        </w:rPr>
        <w:t xml:space="preserve">6. Drain the previous colour — wait until its active-request counters reach zero.</w:t>
      </w:r>
    </w:p>
    <w:p>
      <w:pPr>
        <w:pStyle w:val="ListParagraph"/>
        <w:numPr>
          <w:ilvl w:val="0"/>
          <w:numId w:val="2"/>
        </w:numPr>
        <w:spacing w:after="80"/>
      </w:pPr>
      <w:r>
        <w:rPr>
          <w:rFonts w:ascii="Calibri" w:cs="Calibri" w:eastAsia="Calibri" w:hAnsi="Calibri"/>
          <w:sz w:val="22"/>
          <w:szCs w:val="22"/>
        </w:rPr>
        <w:t xml:space="preserve">7. Stop the previous colour's containers and write the traffic-switch evaluation report.</w:t>
      </w:r>
    </w:p>
    <w:p>
      <w:pPr>
        <w:spacing w:after="160"/>
        <w:jc w:val="both"/>
      </w:pPr>
      <w:r>
        <w:rPr>
          <w:rFonts w:ascii="Calibri" w:cs="Calibri" w:eastAsia="Calibri" w:hAnsi="Calibri"/>
          <w:sz w:val="22"/>
          <w:szCs w:val="22"/>
        </w:rPr>
        <w:t xml:space="preserve">Steps 2–7 are wrapped in an Ansible block; any failure at any step triggers the rescue block described next.</w:t>
      </w:r>
    </w:p>
    <w:p>
      <w:pPr>
        <w:pStyle w:val="Heading2"/>
        <w:spacing w:after="140" w:before="280"/>
      </w:pPr>
      <w:r>
        <w:rPr>
          <w:rFonts w:ascii="Calibri" w:cs="Calibri" w:eastAsia="Calibri" w:hAnsi="Calibri"/>
        </w:rPr>
        <w:t xml:space="preserve">3.3 Automated and Manual Rollback</w:t>
      </w:r>
    </w:p>
    <w:p>
      <w:pPr>
        <w:spacing w:after="160"/>
        <w:jc w:val="both"/>
      </w:pPr>
      <w:r>
        <w:rPr>
          <w:rFonts w:ascii="Calibri" w:cs="Calibri" w:eastAsia="Calibri" w:hAnsi="Calibri"/>
          <w:sz w:val="22"/>
          <w:szCs w:val="22"/>
        </w:rPr>
        <w:t xml:space="preserve">If any step in the deployment block fails — an image that will not build, a health check that never turns green within its retry budget, or a public API that fails post-switch verification — Ansible's rescue: handler fires automatically. The rescue block invokes the rollback role, passing the previously active colour as the target to revert to and the failed colour for cleanup. The role confirms the rollback target's containers are actually running before touching the router (refusing to route traffic to a colour it cannot verify is up), reverts upstream.conf, reloads Nginx, re-verifies all three public endpoints, stops the failed colour's stack, and writes evaluation/rollback_results.txt as a durable record of the event. The playbook then fails loudly with a message pointing at that file, rather than reporting a false success.</w:t>
      </w:r>
    </w:p>
    <w:p>
      <w:pPr>
        <w:spacing w:after="160"/>
        <w:jc w:val="both"/>
      </w:pPr>
      <w:r>
        <w:rPr>
          <w:rFonts w:ascii="Calibri" w:cs="Calibri" w:eastAsia="Calibri" w:hAnsi="Calibri"/>
          <w:sz w:val="22"/>
          <w:szCs w:val="22"/>
        </w:rPr>
        <w:t xml:space="preserve">A second, independent playbook, rollback.yml, addresses a different failure mode: a deployment that passes every automated check but is later found to misbehave under real traffic. It is invoked manually, detects the current active colour, confirms the previous colour's containers are still running, and reverts to it using the same rollback role — with the same configurable verification thresholds.</w:t>
      </w:r>
    </w:p>
    <w:p>
      <w:pPr>
        <w:pStyle w:val="Heading2"/>
        <w:spacing w:after="140" w:before="280"/>
      </w:pPr>
      <w:r>
        <w:rPr>
          <w:rFonts w:ascii="Calibri" w:cs="Calibri" w:eastAsia="Calibri" w:hAnsi="Calibri"/>
        </w:rPr>
        <w:t xml:space="preserve">3.4 Downtime Measurement Harness</w:t>
      </w:r>
    </w:p>
    <w:p>
      <w:pPr>
        <w:spacing w:after="160"/>
        <w:jc w:val="both"/>
      </w:pPr>
      <w:r>
        <w:rPr>
          <w:rFonts w:ascii="Calibri" w:cs="Calibri" w:eastAsia="Calibri" w:hAnsi="Calibri"/>
          <w:sz w:val="22"/>
          <w:szCs w:val="22"/>
        </w:rPr>
        <w:t xml:space="preserve">The measurement harness (loadtest/) is deliberately built from two independent instruments, so that its own methodology can be cross-checked rather than trusted from a single source:</w:t>
      </w:r>
    </w:p>
    <w:p>
      <w:pPr>
        <w:pStyle w:val="ListParagraph"/>
        <w:numPr>
          <w:ilvl w:val="0"/>
          <w:numId w:val="2"/>
        </w:numPr>
        <w:spacing w:after="80"/>
      </w:pPr>
      <w:r>
        <w:rPr>
          <w:rFonts w:ascii="Calibri" w:cs="Calibri" w:eastAsia="Calibri" w:hAnsi="Calibri"/>
          <w:sz w:val="22"/>
          <w:szCs w:val="22"/>
        </w:rPr>
        <w:t xml:space="preserve">wrk2, a constant-throughput HTTP load generator, driving a custom weighted Lua workload (mixed_workload.lua: 50% GET /api/v1/products, 40% GET /api/v1/inventories, 10% POST /api/v1/orders) against the public gateway at a fixed target rate, to produce realistic aggregate throughput and latency-percentile figures under sustained load.</w:t>
      </w:r>
    </w:p>
    <w:p>
      <w:pPr>
        <w:pStyle w:val="ListParagraph"/>
        <w:numPr>
          <w:ilvl w:val="0"/>
          <w:numId w:val="2"/>
        </w:numPr>
        <w:spacing w:after="80"/>
      </w:pPr>
      <w:r>
        <w:rPr>
          <w:rFonts w:ascii="Calibri" w:cs="Calibri" w:eastAsia="Calibri" w:hAnsi="Calibri"/>
          <w:sz w:val="22"/>
          <w:szCs w:val="22"/>
        </w:rPr>
        <w:t xml:space="preserve">A custom Python probe (downtime_probe.py), using only the standard library, that issues one request per endpoint roughly every 20 ms on independent threads for each of the three services' Actuator health endpoints, logging every single request's timestamp, HTTP status, latency, and outcome to a CSV file.</w:t>
      </w:r>
    </w:p>
    <w:p>
      <w:pPr>
        <w:spacing w:after="160"/>
        <w:jc w:val="both"/>
      </w:pPr>
      <w:r>
        <w:rPr>
          <w:rFonts w:ascii="Calibri" w:cs="Calibri" w:eastAsia="Calibri" w:hAnsi="Calibri"/>
          <w:sz w:val="22"/>
          <w:szCs w:val="22"/>
        </w:rPr>
        <w:t xml:space="preserve">A companion script, analyze_downtime.py, post-processes the probe CSV per endpoint: consecutive failed requests are grouped into “outage windows,” and each window's duration is reported as two bounds — a tight (lower-bound) duration spanning only the failed samples themselves, and a bounded (upper-bound) duration spanning from the last successful request before the gap to the first successful request after it, which is guaranteed to contain the true outage. The upper bound is the conservative, defensible figure reported as “downtime.” This design directly targets the gap identified before this work began: deployment time and Nginx reload time were already being measured, but neither is equivalent to a client-observed outage.</w:t>
      </w:r>
    </w:p>
    <w:p>
      <w:pPr>
        <w:spacing w:after="160"/>
        <w:jc w:val="both"/>
      </w:pPr>
      <w:r>
        <w:rPr>
          <w:rFonts w:ascii="Calibri" w:cs="Calibri" w:eastAsia="Calibri" w:hAnsi="Calibri"/>
          <w:sz w:val="22"/>
          <w:szCs w:val="22"/>
        </w:rPr>
        <w:t xml:space="preserve">An orchestration script, run_full_evaluation.sh, runs both instruments concurrently around a single ansible-playbook invocation: it starts the probe and wrk2, waits five seconds for baseline traffic to stabilise, times the full playbook run, waits five more seconds to capture post-switch traffic, stops both instruments, and assembles one combined report per run containing all four figures — deploy wall time, Nginx switch time, client-observed downtime, and wrk2 throughput/latency.</w:t>
      </w:r>
    </w:p>
    <w:p>
      <w:pPr>
        <w:pStyle w:val="Heading1"/>
        <w:spacing w:after="140" w:before="280"/>
      </w:pPr>
      <w:r>
        <w:rPr>
          <w:rFonts w:ascii="Calibri" w:cs="Calibri" w:eastAsia="Calibri" w:hAnsi="Calibri"/>
        </w:rPr>
        <w:t xml:space="preserve">4. Experimental Setup</w:t>
      </w:r>
    </w:p>
    <w:p>
      <w:pPr>
        <w:pStyle w:val="Heading2"/>
        <w:spacing w:after="140" w:before="280"/>
      </w:pPr>
      <w:r>
        <w:rPr>
          <w:rFonts w:ascii="Calibri" w:cs="Calibri" w:eastAsia="Calibri" w:hAnsi="Calibri"/>
        </w:rPr>
        <w:t xml:space="preserve">4.1 Environment</w:t>
      </w:r>
    </w:p>
    <w:p>
      <w:pPr>
        <w:spacing w:after="160"/>
        <w:jc w:val="both"/>
      </w:pPr>
      <w:r>
        <w:rPr>
          <w:rFonts w:ascii="Calibri" w:cs="Calibri" w:eastAsia="Calibri" w:hAnsi="Calibri"/>
          <w:sz w:val="22"/>
          <w:szCs w:val="22"/>
        </w:rPr>
        <w:t xml:space="preserve">All experiments were run on a single development host with Docker Engine, Docker Compose, and Ansible installed locally (the inventory targets localhost via ansible_connection=local). The host has 8 CPU cores, 15 GiB of RAM, and 4 GiB of swap. The public gateway was reachable at http://127.0.0.1:8090. Five deployment runs were executed: three establishing the baseline zero-downtime and switch-timing result, and two further runs used to isolate the cause of an elevated wrk2 timeout rate observed during deployment (Section 5.4). A sixth, steady-state control run repeated the identical workload with no deployment in progress.</w:t>
      </w:r>
    </w:p>
    <w:p>
      <w:pPr>
        <w:pStyle w:val="Heading2"/>
        <w:spacing w:after="140" w:before="280"/>
      </w:pPr>
      <w:r>
        <w:rPr>
          <w:rFonts w:ascii="Calibri" w:cs="Calibri" w:eastAsia="Calibri" w:hAnsi="Calibri"/>
        </w:rPr>
        <w:t xml:space="preserve">4.2 Workload</w:t>
      </w:r>
    </w:p>
    <w:p>
      <w:pPr>
        <w:spacing w:after="160"/>
        <w:jc w:val="both"/>
      </w:pPr>
      <w:r>
        <w:rPr>
          <w:rFonts w:ascii="Calibri" w:cs="Calibri" w:eastAsia="Calibri" w:hAnsi="Calibri"/>
          <w:sz w:val="22"/>
          <w:szCs w:val="22"/>
        </w:rPr>
        <w:t xml:space="preserve">wrk2 was configured with 4 threads, 20 connections, and a target constant rate of 50 requests/second for up to 180 seconds (stopped early once the deploy completed plus a 5-second buffer), issuing the weighted mixed workload described in Section 3.4. In parallel, the Python probe issued one request per endpoint approximately every 20 ms against each service's /actuator/&lt;service&gt;/health endpoint, routed through the same two-tier gateway and therefore subject to the same upstream switch as real traffic.</w:t>
      </w:r>
    </w:p>
    <w:p>
      <w:pPr>
        <w:pStyle w:val="Heading2"/>
        <w:spacing w:after="140" w:before="280"/>
      </w:pPr>
      <w:r>
        <w:rPr>
          <w:rFonts w:ascii="Calibri" w:cs="Calibri" w:eastAsia="Calibri" w:hAnsi="Calibri"/>
        </w:rPr>
        <w:t xml:space="preserve">4.3 Metrics Collected</w:t>
      </w:r>
    </w:p>
    <w:p>
      <w:pPr>
        <w:pStyle w:val="ListParagraph"/>
        <w:numPr>
          <w:ilvl w:val="0"/>
          <w:numId w:val="2"/>
        </w:numPr>
        <w:spacing w:after="80"/>
      </w:pPr>
      <w:r>
        <w:rPr>
          <w:rFonts w:ascii="Calibri" w:cs="Calibri" w:eastAsia="Calibri" w:hAnsi="Calibri"/>
          <w:sz w:val="22"/>
          <w:szCs w:val="22"/>
        </w:rPr>
        <w:t xml:space="preserve">Deploy wall time — total time for the full ansible-playbook deploy-blue-green.yml invocation.</w:t>
      </w:r>
    </w:p>
    <w:p>
      <w:pPr>
        <w:pStyle w:val="ListParagraph"/>
        <w:numPr>
          <w:ilvl w:val="0"/>
          <w:numId w:val="2"/>
        </w:numPr>
        <w:spacing w:after="80"/>
      </w:pPr>
      <w:r>
        <w:rPr>
          <w:rFonts w:ascii="Calibri" w:cs="Calibri" w:eastAsia="Calibri" w:hAnsi="Calibri"/>
          <w:sz w:val="22"/>
          <w:szCs w:val="22"/>
        </w:rPr>
        <w:t xml:space="preserve">Nginx switch time — time for the switch_traffic role alone (upstream rewrite + reload + public API verification), as recorded in evaluation/traffic_switch_results.txt.</w:t>
      </w:r>
    </w:p>
    <w:p>
      <w:pPr>
        <w:pStyle w:val="ListParagraph"/>
        <w:numPr>
          <w:ilvl w:val="0"/>
          <w:numId w:val="2"/>
        </w:numPr>
        <w:spacing w:after="80"/>
      </w:pPr>
      <w:r>
        <w:rPr>
          <w:rFonts w:ascii="Calibri" w:cs="Calibri" w:eastAsia="Calibri" w:hAnsi="Calibri"/>
          <w:sz w:val="22"/>
          <w:szCs w:val="22"/>
        </w:rPr>
        <w:t xml:space="preserve">Client-observed downtime — per-endpoint, from the probe/analyzer pipeline described in Section 3.4.</w:t>
      </w:r>
    </w:p>
    <w:p>
      <w:pPr>
        <w:pStyle w:val="ListParagraph"/>
        <w:numPr>
          <w:ilvl w:val="0"/>
          <w:numId w:val="2"/>
        </w:numPr>
        <w:spacing w:after="80"/>
      </w:pPr>
      <w:r>
        <w:rPr>
          <w:rFonts w:ascii="Calibri" w:cs="Calibri" w:eastAsia="Calibri" w:hAnsi="Calibri"/>
          <w:sz w:val="22"/>
          <w:szCs w:val="22"/>
        </w:rPr>
        <w:t xml:space="preserve">Throughput and latency percentiles — from wrk2's own output against the live business endpoints.</w:t>
      </w:r>
    </w:p>
    <w:p>
      <w:pPr>
        <w:pStyle w:val="Heading1"/>
        <w:spacing w:after="140" w:before="280"/>
      </w:pPr>
      <w:r>
        <w:rPr>
          <w:rFonts w:ascii="Calibri" w:cs="Calibri" w:eastAsia="Calibri" w:hAnsi="Calibri"/>
        </w:rPr>
        <w:t xml:space="preserve">5. Results</w:t>
      </w:r>
    </w:p>
    <w:p>
      <w:pPr>
        <w:pStyle w:val="Heading2"/>
        <w:spacing w:after="140" w:before="280"/>
      </w:pPr>
      <w:r>
        <w:rPr>
          <w:rFonts w:ascii="Calibri" w:cs="Calibri" w:eastAsia="Calibri" w:hAnsi="Calibri"/>
        </w:rPr>
        <w:t xml:space="preserve">5.1 Deploy and Switch Timing</w:t>
      </w:r>
    </w:p>
    <w:tbl>
      <w:tblPr>
        <w:tblW w:type="pct" w:w="100%"/>
        <w:tblBorders>
          <w:top w:val="single" w:color="AAAAAA" w:sz="4"/>
          <w:left w:val="single" w:color="AAAAAA" w:sz="4"/>
          <w:bottom w:val="single" w:color="AAAAAA" w:sz="4"/>
          <w:right w:val="single" w:color="AAAAAA" w:sz="4"/>
          <w:insideH w:val="single" w:color="AAAAAA" w:sz="4"/>
          <w:insideV w:val="single" w:color="AAAAAA" w:sz="4"/>
        </w:tblBorders>
      </w:tblPr>
      <w:tblGrid>
        <w:gridCol w:w="126"/>
        <w:gridCol w:w="126"/>
        <w:gridCol w:w="144"/>
        <w:gridCol w:w="144"/>
      </w:tblGrid>
      <w:tr>
        <w:trPr>
          <w:tblHeader/>
        </w:trPr>
        <w:tc>
          <w:tcPr>
            <w:tcW w:type="pct" w:w="1.4%"/>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Run</w:t>
            </w:r>
          </w:p>
        </w:tc>
        <w:tc>
          <w:tcPr>
            <w:tcW w:type="pct" w:w="1.4%"/>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Colour change</w:t>
            </w:r>
          </w:p>
        </w:tc>
        <w:tc>
          <w:tcPr>
            <w:tcW w:type="pct" w:w="1.6%"/>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Deploy wall time</w:t>
            </w:r>
          </w:p>
        </w:tc>
        <w:tc>
          <w:tcPr>
            <w:tcW w:type="pct" w:w="1.6%"/>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Nginx switch time</w:t>
            </w:r>
          </w:p>
        </w:tc>
      </w:tr>
      <w:tr>
        <w:tc>
          <w:tcPr>
            <w:tcW w:type="pct" w:w="1.4%"/>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Run A (23:58:15)</w:t>
            </w:r>
          </w:p>
        </w:tc>
        <w:tc>
          <w:tcPr>
            <w:tcW w:type="pct" w:w="1.4%"/>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green → blue</w:t>
            </w:r>
          </w:p>
        </w:tc>
        <w:tc>
          <w:tcPr>
            <w:tcW w:type="pct" w:w="1.6%"/>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58.11 s</w:t>
            </w:r>
          </w:p>
        </w:tc>
        <w:tc>
          <w:tcPr>
            <w:tcW w:type="pct" w:w="1.6%"/>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2.52 s</w:t>
            </w:r>
          </w:p>
        </w:tc>
      </w:tr>
      <w:tr>
        <w:tc>
          <w:tcPr>
            <w:tcW w:type="pct" w:w="1.4%"/>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Run B (00:11:30)</w:t>
            </w:r>
          </w:p>
        </w:tc>
        <w:tc>
          <w:tcPr>
            <w:tcW w:type="pct" w:w="1.4%"/>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blue → green</w:t>
            </w:r>
          </w:p>
        </w:tc>
        <w:tc>
          <w:tcPr>
            <w:tcW w:type="pct" w:w="1.6%"/>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55.34 s</w:t>
            </w:r>
          </w:p>
        </w:tc>
        <w:tc>
          <w:tcPr>
            <w:tcW w:type="pct" w:w="1.6%"/>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2.33 s</w:t>
            </w:r>
          </w:p>
        </w:tc>
      </w:tr>
      <w:tr>
        <w:tc>
          <w:tcPr>
            <w:tcW w:type="pct" w:w="1.4%"/>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Run C (00:16:38)</w:t>
            </w:r>
          </w:p>
        </w:tc>
        <w:tc>
          <w:tcPr>
            <w:tcW w:type="pct" w:w="1.4%"/>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green → blue</w:t>
            </w:r>
          </w:p>
        </w:tc>
        <w:tc>
          <w:tcPr>
            <w:tcW w:type="pct" w:w="1.6%"/>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58.06 s</w:t>
            </w:r>
          </w:p>
        </w:tc>
        <w:tc>
          <w:tcPr>
            <w:tcW w:type="pct" w:w="1.6%"/>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2.41 s</w:t>
            </w:r>
          </w:p>
        </w:tc>
      </w:tr>
      <w:tr>
        <w:tc>
          <w:tcPr>
            <w:tcW w:type="pct" w:w="1.4%"/>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Mean</w:t>
            </w:r>
          </w:p>
        </w:tc>
        <w:tc>
          <w:tcPr>
            <w:tcW w:type="pct" w:w="1.4%"/>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w:t>
            </w:r>
          </w:p>
        </w:tc>
        <w:tc>
          <w:tcPr>
            <w:tcW w:type="pct" w:w="1.6%"/>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57.17 s</w:t>
            </w:r>
          </w:p>
        </w:tc>
        <w:tc>
          <w:tcPr>
            <w:tcW w:type="pct" w:w="1.6%"/>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2.42 s</w:t>
            </w:r>
          </w:p>
        </w:tc>
      </w:tr>
    </w:tbl>
    <w:p>
      <w:pPr>
        <w:spacing w:after="240" w:before="80"/>
        <w:jc w:val="center"/>
      </w:pPr>
      <w:r>
        <w:rPr>
          <w:rFonts w:ascii="Calibri" w:cs="Calibri" w:eastAsia="Calibri" w:hAnsi="Calibri"/>
          <w:i/>
          <w:iCs/>
          <w:color w:val="555555"/>
          <w:sz w:val="18"/>
          <w:szCs w:val="18"/>
        </w:rPr>
        <w:t xml:space="preserve">Table 1. Full deployment time vs. the Nginx traffic-switch step alone, across three runs. The switch itself accounts for roughly 4% of total deploy wall time — the remainder is build, health-check, and drain.</w:t>
      </w:r>
    </w:p>
    <w:p>
      <w:pPr>
        <w:pStyle w:val="Heading2"/>
        <w:spacing w:after="140" w:before="280"/>
      </w:pPr>
      <w:r>
        <w:rPr>
          <w:rFonts w:ascii="Calibri" w:cs="Calibri" w:eastAsia="Calibri" w:hAnsi="Calibri"/>
        </w:rPr>
        <w:t xml:space="preserve">5.2 Client-Observed Downtime</w:t>
      </w:r>
    </w:p>
    <w:tbl>
      <w:tblPr>
        <w:tblW w:type="pct" w:w="100%"/>
        <w:tblBorders>
          <w:top w:val="single" w:color="AAAAAA" w:sz="4"/>
          <w:left w:val="single" w:color="AAAAAA" w:sz="4"/>
          <w:bottom w:val="single" w:color="AAAAAA" w:sz="4"/>
          <w:right w:val="single" w:color="AAAAAA" w:sz="4"/>
          <w:insideH w:val="single" w:color="AAAAAA" w:sz="4"/>
          <w:insideV w:val="single" w:color="AAAAAA" w:sz="4"/>
        </w:tblBorders>
      </w:tblPr>
      <w:tblGrid>
        <w:gridCol w:w="72"/>
        <w:gridCol w:w="108"/>
        <w:gridCol w:w="99"/>
        <w:gridCol w:w="81"/>
        <w:gridCol w:w="108"/>
        <w:gridCol w:w="126"/>
      </w:tblGrid>
      <w:tr>
        <w:trPr>
          <w:tblHeader/>
        </w:trPr>
        <w:tc>
          <w:tcPr>
            <w:tcW w:type="pct" w:w="0.8%"/>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Run</w:t>
            </w:r>
          </w:p>
        </w:tc>
        <w:tc>
          <w:tcPr>
            <w:tcW w:type="pct" w:w="1.2%"/>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Endpoint</w:t>
            </w:r>
          </w:p>
        </w:tc>
        <w:tc>
          <w:tcPr>
            <w:tcW w:type="pct" w:w="1.1%"/>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Requests</w:t>
            </w:r>
          </w:p>
        </w:tc>
        <w:tc>
          <w:tcPr>
            <w:tcW w:type="pct" w:w="0.9%"/>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Failed</w:t>
            </w:r>
          </w:p>
        </w:tc>
        <w:tc>
          <w:tcPr>
            <w:tcW w:type="pct" w:w="1.2%"/>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Success rate</w:t>
            </w:r>
          </w:p>
        </w:tc>
        <w:tc>
          <w:tcPr>
            <w:tcW w:type="pct" w:w="1.4%"/>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Downtime (bounded)</w:t>
            </w:r>
          </w:p>
        </w:tc>
      </w:tr>
      <w:tr>
        <w:tc>
          <w:tcPr>
            <w:tcW w:type="pct" w:w="0.8%"/>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A</w:t>
            </w:r>
          </w:p>
        </w:tc>
        <w:tc>
          <w:tcPr>
            <w:tcW w:type="pct" w:w="1.2%"/>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product</w:t>
            </w:r>
          </w:p>
        </w:tc>
        <w:tc>
          <w:tcPr>
            <w:tcW w:type="pct" w:w="1.1%"/>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3,306</w:t>
            </w:r>
          </w:p>
        </w:tc>
        <w:tc>
          <w:tcPr>
            <w:tcW w:type="pct" w:w="0.9%"/>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0</w:t>
            </w:r>
          </w:p>
        </w:tc>
        <w:tc>
          <w:tcPr>
            <w:tcW w:type="pct" w:w="1.2%"/>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100.0%</w:t>
            </w:r>
          </w:p>
        </w:tc>
        <w:tc>
          <w:tcPr>
            <w:tcW w:type="pct" w:w="1.4%"/>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0 ms</w:t>
            </w:r>
          </w:p>
        </w:tc>
      </w:tr>
      <w:tr>
        <w:tc>
          <w:tcPr>
            <w:tcW w:type="pct" w:w="0.8%"/>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A</w:t>
            </w:r>
          </w:p>
        </w:tc>
        <w:tc>
          <w:tcPr>
            <w:tcW w:type="pct" w:w="1.2%"/>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inventory</w:t>
            </w:r>
          </w:p>
        </w:tc>
        <w:tc>
          <w:tcPr>
            <w:tcW w:type="pct" w:w="1.1%"/>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3,316</w:t>
            </w:r>
          </w:p>
        </w:tc>
        <w:tc>
          <w:tcPr>
            <w:tcW w:type="pct" w:w="0.9%"/>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0</w:t>
            </w:r>
          </w:p>
        </w:tc>
        <w:tc>
          <w:tcPr>
            <w:tcW w:type="pct" w:w="1.2%"/>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100.0%</w:t>
            </w:r>
          </w:p>
        </w:tc>
        <w:tc>
          <w:tcPr>
            <w:tcW w:type="pct" w:w="1.4%"/>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0 ms</w:t>
            </w:r>
          </w:p>
        </w:tc>
      </w:tr>
      <w:tr>
        <w:tc>
          <w:tcPr>
            <w:tcW w:type="pct" w:w="0.8%"/>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A</w:t>
            </w:r>
          </w:p>
        </w:tc>
        <w:tc>
          <w:tcPr>
            <w:tcW w:type="pct" w:w="1.2%"/>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order</w:t>
            </w:r>
          </w:p>
        </w:tc>
        <w:tc>
          <w:tcPr>
            <w:tcW w:type="pct" w:w="1.1%"/>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3,305</w:t>
            </w:r>
          </w:p>
        </w:tc>
        <w:tc>
          <w:tcPr>
            <w:tcW w:type="pct" w:w="0.9%"/>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0</w:t>
            </w:r>
          </w:p>
        </w:tc>
        <w:tc>
          <w:tcPr>
            <w:tcW w:type="pct" w:w="1.2%"/>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100.0%</w:t>
            </w:r>
          </w:p>
        </w:tc>
        <w:tc>
          <w:tcPr>
            <w:tcW w:type="pct" w:w="1.4%"/>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0 ms</w:t>
            </w:r>
          </w:p>
        </w:tc>
      </w:tr>
      <w:tr>
        <w:tc>
          <w:tcPr>
            <w:tcW w:type="pct" w:w="0.8%"/>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B</w:t>
            </w:r>
          </w:p>
        </w:tc>
        <w:tc>
          <w:tcPr>
            <w:tcW w:type="pct" w:w="1.2%"/>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product</w:t>
            </w:r>
          </w:p>
        </w:tc>
        <w:tc>
          <w:tcPr>
            <w:tcW w:type="pct" w:w="1.1%"/>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3,182</w:t>
            </w:r>
          </w:p>
        </w:tc>
        <w:tc>
          <w:tcPr>
            <w:tcW w:type="pct" w:w="0.9%"/>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0</w:t>
            </w:r>
          </w:p>
        </w:tc>
        <w:tc>
          <w:tcPr>
            <w:tcW w:type="pct" w:w="1.2%"/>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100.0%</w:t>
            </w:r>
          </w:p>
        </w:tc>
        <w:tc>
          <w:tcPr>
            <w:tcW w:type="pct" w:w="1.4%"/>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0 ms</w:t>
            </w:r>
          </w:p>
        </w:tc>
      </w:tr>
      <w:tr>
        <w:tc>
          <w:tcPr>
            <w:tcW w:type="pct" w:w="0.8%"/>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B</w:t>
            </w:r>
          </w:p>
        </w:tc>
        <w:tc>
          <w:tcPr>
            <w:tcW w:type="pct" w:w="1.2%"/>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inventory</w:t>
            </w:r>
          </w:p>
        </w:tc>
        <w:tc>
          <w:tcPr>
            <w:tcW w:type="pct" w:w="1.1%"/>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3,170</w:t>
            </w:r>
          </w:p>
        </w:tc>
        <w:tc>
          <w:tcPr>
            <w:tcW w:type="pct" w:w="0.9%"/>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0</w:t>
            </w:r>
          </w:p>
        </w:tc>
        <w:tc>
          <w:tcPr>
            <w:tcW w:type="pct" w:w="1.2%"/>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100.0%</w:t>
            </w:r>
          </w:p>
        </w:tc>
        <w:tc>
          <w:tcPr>
            <w:tcW w:type="pct" w:w="1.4%"/>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0 ms</w:t>
            </w:r>
          </w:p>
        </w:tc>
      </w:tr>
      <w:tr>
        <w:tc>
          <w:tcPr>
            <w:tcW w:type="pct" w:w="0.8%"/>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B</w:t>
            </w:r>
          </w:p>
        </w:tc>
        <w:tc>
          <w:tcPr>
            <w:tcW w:type="pct" w:w="1.2%"/>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order</w:t>
            </w:r>
          </w:p>
        </w:tc>
        <w:tc>
          <w:tcPr>
            <w:tcW w:type="pct" w:w="1.1%"/>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3,170</w:t>
            </w:r>
          </w:p>
        </w:tc>
        <w:tc>
          <w:tcPr>
            <w:tcW w:type="pct" w:w="0.9%"/>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0</w:t>
            </w:r>
          </w:p>
        </w:tc>
        <w:tc>
          <w:tcPr>
            <w:tcW w:type="pct" w:w="1.2%"/>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100.0%</w:t>
            </w:r>
          </w:p>
        </w:tc>
        <w:tc>
          <w:tcPr>
            <w:tcW w:type="pct" w:w="1.4%"/>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0 ms</w:t>
            </w:r>
          </w:p>
        </w:tc>
      </w:tr>
      <w:tr>
        <w:tc>
          <w:tcPr>
            <w:tcW w:type="pct" w:w="0.8%"/>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C</w:t>
            </w:r>
          </w:p>
        </w:tc>
        <w:tc>
          <w:tcPr>
            <w:tcW w:type="pct" w:w="1.2%"/>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product</w:t>
            </w:r>
          </w:p>
        </w:tc>
        <w:tc>
          <w:tcPr>
            <w:tcW w:type="pct" w:w="1.1%"/>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3,292</w:t>
            </w:r>
          </w:p>
        </w:tc>
        <w:tc>
          <w:tcPr>
            <w:tcW w:type="pct" w:w="0.9%"/>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0</w:t>
            </w:r>
          </w:p>
        </w:tc>
        <w:tc>
          <w:tcPr>
            <w:tcW w:type="pct" w:w="1.2%"/>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100.0%</w:t>
            </w:r>
          </w:p>
        </w:tc>
        <w:tc>
          <w:tcPr>
            <w:tcW w:type="pct" w:w="1.4%"/>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0 ms</w:t>
            </w:r>
          </w:p>
        </w:tc>
      </w:tr>
      <w:tr>
        <w:tc>
          <w:tcPr>
            <w:tcW w:type="pct" w:w="0.8%"/>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C</w:t>
            </w:r>
          </w:p>
        </w:tc>
        <w:tc>
          <w:tcPr>
            <w:tcW w:type="pct" w:w="1.2%"/>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inventory</w:t>
            </w:r>
          </w:p>
        </w:tc>
        <w:tc>
          <w:tcPr>
            <w:tcW w:type="pct" w:w="1.1%"/>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3,305</w:t>
            </w:r>
          </w:p>
        </w:tc>
        <w:tc>
          <w:tcPr>
            <w:tcW w:type="pct" w:w="0.9%"/>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0</w:t>
            </w:r>
          </w:p>
        </w:tc>
        <w:tc>
          <w:tcPr>
            <w:tcW w:type="pct" w:w="1.2%"/>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100.0%</w:t>
            </w:r>
          </w:p>
        </w:tc>
        <w:tc>
          <w:tcPr>
            <w:tcW w:type="pct" w:w="1.4%"/>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0 ms</w:t>
            </w:r>
          </w:p>
        </w:tc>
      </w:tr>
      <w:tr>
        <w:tc>
          <w:tcPr>
            <w:tcW w:type="pct" w:w="0.8%"/>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C</w:t>
            </w:r>
          </w:p>
        </w:tc>
        <w:tc>
          <w:tcPr>
            <w:tcW w:type="pct" w:w="1.2%"/>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order</w:t>
            </w:r>
          </w:p>
        </w:tc>
        <w:tc>
          <w:tcPr>
            <w:tcW w:type="pct" w:w="1.1%"/>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3,297</w:t>
            </w:r>
          </w:p>
        </w:tc>
        <w:tc>
          <w:tcPr>
            <w:tcW w:type="pct" w:w="0.9%"/>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0</w:t>
            </w:r>
          </w:p>
        </w:tc>
        <w:tc>
          <w:tcPr>
            <w:tcW w:type="pct" w:w="1.2%"/>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100.0%</w:t>
            </w:r>
          </w:p>
        </w:tc>
        <w:tc>
          <w:tcPr>
            <w:tcW w:type="pct" w:w="1.4%"/>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0 ms</w:t>
            </w:r>
          </w:p>
        </w:tc>
      </w:tr>
    </w:tbl>
    <w:p>
      <w:pPr>
        <w:spacing w:after="240" w:before="80"/>
        <w:jc w:val="center"/>
      </w:pPr>
      <w:r>
        <w:rPr>
          <w:rFonts w:ascii="Calibri" w:cs="Calibri" w:eastAsia="Calibri" w:hAnsi="Calibri"/>
          <w:i/>
          <w:iCs/>
          <w:color w:val="555555"/>
          <w:sz w:val="18"/>
          <w:szCs w:val="18"/>
        </w:rPr>
        <w:t xml:space="preserve">Table 2. Per-endpoint, per-run downtime measured by the request-level probe. No probe request failed in any of the nine (run × endpoint) samples across three independent switches.</w:t>
      </w:r>
    </w:p>
    <w:p>
      <w:pPr>
        <w:spacing w:after="160"/>
        <w:jc w:val="both"/>
      </w:pPr>
      <w:r>
        <w:rPr>
          <w:rFonts w:ascii="Calibri" w:cs="Calibri" w:eastAsia="Calibri" w:hAnsi="Calibri"/>
          <w:sz w:val="22"/>
          <w:szCs w:val="22"/>
        </w:rPr>
        <w:t xml:space="preserve">Across all three runs and all three service endpoints, the probe recorded zero failed requests and zero measured downtime at approximately 20 ms sampling resolution. This is consistent with the drain_requests role successfully waiting for in-flight requests to complete before a colour is stopped, and with the switch itself (upstream rewrite + Nginx reload) completing atomically from the client's perspective.</w:t>
      </w:r>
    </w:p>
    <w:p>
      <w:pPr>
        <w:pStyle w:val="Heading2"/>
        <w:spacing w:after="140" w:before="280"/>
      </w:pPr>
      <w:r>
        <w:rPr>
          <w:rFonts w:ascii="Calibri" w:cs="Calibri" w:eastAsia="Calibri" w:hAnsi="Calibri"/>
        </w:rPr>
        <w:t xml:space="preserve">5.3 Throughput and Latency Under Sustained Load</w:t>
      </w:r>
    </w:p>
    <w:p>
      <w:pPr>
        <w:spacing w:after="160"/>
        <w:jc w:val="both"/>
      </w:pPr>
      <w:r>
        <w:rPr>
          <w:rFonts w:ascii="Calibri" w:cs="Calibri" w:eastAsia="Calibri" w:hAnsi="Calibri"/>
          <w:sz w:val="22"/>
          <w:szCs w:val="22"/>
        </w:rPr>
        <w:t xml:space="preserve">wrk2 output was captured for Runs B and C (Run A's wrk2 binary was not yet built at the time of that run, so only the probe data is available for it):</w:t>
      </w:r>
    </w:p>
    <w:tbl>
      <w:tblPr>
        <w:tblW w:type="pct" w:w="100%"/>
        <w:tblBorders>
          <w:top w:val="single" w:color="AAAAAA" w:sz="4"/>
          <w:left w:val="single" w:color="AAAAAA" w:sz="4"/>
          <w:bottom w:val="single" w:color="AAAAAA" w:sz="4"/>
          <w:right w:val="single" w:color="AAAAAA" w:sz="4"/>
          <w:insideH w:val="single" w:color="AAAAAA" w:sz="4"/>
          <w:insideV w:val="single" w:color="AAAAAA" w:sz="4"/>
        </w:tblBorders>
      </w:tblPr>
      <w:tblGrid>
        <w:gridCol w:w="54"/>
        <w:gridCol w:w="81"/>
        <w:gridCol w:w="72"/>
        <w:gridCol w:w="81"/>
        <w:gridCol w:w="81"/>
        <w:gridCol w:w="81"/>
        <w:gridCol w:w="81"/>
        <w:gridCol w:w="99"/>
      </w:tblGrid>
      <w:tr>
        <w:trPr>
          <w:tblHeader/>
        </w:trPr>
        <w:tc>
          <w:tcPr>
            <w:tcW w:type="pct" w:w="0.6%"/>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Run</w:t>
            </w:r>
          </w:p>
        </w:tc>
        <w:tc>
          <w:tcPr>
            <w:tcW w:type="pct" w:w="0.9%"/>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Requests</w:t>
            </w:r>
          </w:p>
        </w:tc>
        <w:tc>
          <w:tcPr>
            <w:tcW w:type="pct" w:w="0.8%"/>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Req/sec</w:t>
            </w:r>
          </w:p>
        </w:tc>
        <w:tc>
          <w:tcPr>
            <w:tcW w:type="pct" w:w="0.9%"/>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p50</w:t>
            </w:r>
          </w:p>
        </w:tc>
        <w:tc>
          <w:tcPr>
            <w:tcW w:type="pct" w:w="0.9%"/>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p90</w:t>
            </w:r>
          </w:p>
        </w:tc>
        <w:tc>
          <w:tcPr>
            <w:tcW w:type="pct" w:w="0.9%"/>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p99</w:t>
            </w:r>
          </w:p>
        </w:tc>
        <w:tc>
          <w:tcPr>
            <w:tcW w:type="pct" w:w="0.9%"/>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Max</w:t>
            </w:r>
          </w:p>
        </w:tc>
        <w:tc>
          <w:tcPr>
            <w:tcW w:type="pct" w:w="1.1%"/>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Socket timeouts</w:t>
            </w:r>
          </w:p>
        </w:tc>
      </w:tr>
      <w:tr>
        <w:tc>
          <w:tcPr>
            <w:tcW w:type="pct" w:w="0.6%"/>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B</w:t>
            </w:r>
          </w:p>
        </w:tc>
        <w:tc>
          <w:tcPr>
            <w:tcW w:type="pct" w:w="0.9%"/>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2,620</w:t>
            </w:r>
          </w:p>
        </w:tc>
        <w:tc>
          <w:tcPr>
            <w:tcW w:type="pct" w:w="0.8%"/>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29.09</w:t>
            </w:r>
          </w:p>
        </w:tc>
        <w:tc>
          <w:tcPr>
            <w:tcW w:type="pct" w:w="0.9%"/>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14.16 ms</w:t>
            </w:r>
          </w:p>
        </w:tc>
        <w:tc>
          <w:tcPr>
            <w:tcW w:type="pct" w:w="0.9%"/>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61.60 ms</w:t>
            </w:r>
          </w:p>
        </w:tc>
        <w:tc>
          <w:tcPr>
            <w:tcW w:type="pct" w:w="0.9%"/>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185.47 ms</w:t>
            </w:r>
          </w:p>
        </w:tc>
        <w:tc>
          <w:tcPr>
            <w:tcW w:type="pct" w:w="0.9%"/>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307.97 ms</w:t>
            </w:r>
          </w:p>
        </w:tc>
        <w:tc>
          <w:tcPr>
            <w:tcW w:type="pct" w:w="1.1%"/>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360 (13.7%)</w:t>
            </w:r>
          </w:p>
        </w:tc>
      </w:tr>
      <w:tr>
        <w:tc>
          <w:tcPr>
            <w:tcW w:type="pct" w:w="0.6%"/>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C</w:t>
            </w:r>
          </w:p>
        </w:tc>
        <w:tc>
          <w:tcPr>
            <w:tcW w:type="pct" w:w="0.9%"/>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2,740</w:t>
            </w:r>
          </w:p>
        </w:tc>
        <w:tc>
          <w:tcPr>
            <w:tcW w:type="pct" w:w="0.8%"/>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30.43</w:t>
            </w:r>
          </w:p>
        </w:tc>
        <w:tc>
          <w:tcPr>
            <w:tcW w:type="pct" w:w="0.9%"/>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12.08 ms</w:t>
            </w:r>
          </w:p>
        </w:tc>
        <w:tc>
          <w:tcPr>
            <w:tcW w:type="pct" w:w="0.9%"/>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53.98 ms</w:t>
            </w:r>
          </w:p>
        </w:tc>
        <w:tc>
          <w:tcPr>
            <w:tcW w:type="pct" w:w="0.9%"/>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181.50 ms</w:t>
            </w:r>
          </w:p>
        </w:tc>
        <w:tc>
          <w:tcPr>
            <w:tcW w:type="pct" w:w="0.9%"/>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469.25 ms</w:t>
            </w:r>
          </w:p>
        </w:tc>
        <w:tc>
          <w:tcPr>
            <w:tcW w:type="pct" w:w="1.1%"/>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340 (12.4%)</w:t>
            </w:r>
          </w:p>
        </w:tc>
      </w:tr>
    </w:tbl>
    <w:p>
      <w:pPr>
        <w:spacing w:after="240" w:before="80"/>
        <w:jc w:val="center"/>
      </w:pPr>
      <w:r>
        <w:rPr>
          <w:rFonts w:ascii="Calibri" w:cs="Calibri" w:eastAsia="Calibri" w:hAnsi="Calibri"/>
          <w:i/>
          <w:iCs/>
          <w:color w:val="555555"/>
          <w:sz w:val="18"/>
          <w:szCs w:val="18"/>
        </w:rPr>
        <w:t xml:space="preserve">Table 3. wrk2 throughput and latency against the live mixed business-endpoint workload during deployment (target rate: 50 req/s).</w:t>
      </w:r>
    </w:p>
    <w:p>
      <w:pPr>
        <w:spacing w:after="160"/>
        <w:jc w:val="both"/>
      </w:pPr>
      <w:r>
        <w:rPr>
          <w:rFonts w:ascii="Calibri" w:cs="Calibri" w:eastAsia="Calibri" w:hAnsi="Calibri"/>
          <w:sz w:val="22"/>
          <w:szCs w:val="22"/>
        </w:rPr>
        <w:t xml:space="preserve">Two things stood out and prompted the investigation in Section 5.4: the achieved throughput during deployment (≈29–34 req/s) consistently fell short of the configured 50 req/s target, and wrk2 recorded socket-level timeouts on approximately 8–14% of requests — a rate the request-level probe did not observe on the health-check endpoints over the same windows. Critically, this rate did not change across three independent code/configuration fixes attempted in sequence (removing a transaction that held a database connection open across outbound HTTP calls; spreading synthetic orders across ten products instead of one, to remove inventory row-lock contention; and enabling Nginx keepalive at both gateway tiers to eliminate per-request TCP connection churn). A timeout rate that stays flat across three independent, targeted fixes is itself evidence that the fixes were not addressing the actual bottleneck — which prompted the investigation below.</w:t>
      </w:r>
    </w:p>
    <w:p>
      <w:pPr>
        <w:pStyle w:val="Heading2"/>
        <w:spacing w:after="140" w:before="280"/>
      </w:pPr>
      <w:r>
        <w:rPr>
          <w:rFonts w:ascii="Calibri" w:cs="Calibri" w:eastAsia="Calibri" w:hAnsi="Calibri"/>
        </w:rPr>
        <w:t xml:space="preserve">5.4 Root-Causing the Timeout Rate: Dual-Stack CPU Contention</w:t>
      </w:r>
    </w:p>
    <w:p>
      <w:pPr>
        <w:spacing w:after="160"/>
        <w:jc w:val="both"/>
      </w:pPr>
      <w:r>
        <w:rPr>
          <w:rFonts w:ascii="Calibri" w:cs="Calibri" w:eastAsia="Calibri" w:hAnsi="Calibri"/>
          <w:sz w:val="22"/>
          <w:szCs w:val="22"/>
        </w:rPr>
        <w:t xml:space="preserve">To find the actual cause, container-level CPU usage was sampled every 2 seconds throughout a deployment run using docker stats. The results were unambiguous: for approximately 33–41 seconds — the window in which the outgoing colour is still serving live traffic while the incoming colour's three Spring Boot services are starting, autowiring, and JIT-warming — six JVM containers run simultaneously on the host instead of three. Individual containers were observed at 150–290% CPU each (Docker reports CPU as a percentage of one core, so 289% means one container alone was saturating nearly three cores), with combined demand across all containers peaking at approximately 700–730% — roughly 87–91% of the host's 8 cores — for a sustained multi-second period during the switch.</w:t>
      </w:r>
    </w:p>
    <w:tbl>
      <w:tblPr>
        <w:tblW w:type="pct" w:w="100%"/>
        <w:tblBorders>
          <w:top w:val="single" w:color="AAAAAA" w:sz="4"/>
          <w:left w:val="single" w:color="AAAAAA" w:sz="4"/>
          <w:bottom w:val="single" w:color="AAAAAA" w:sz="4"/>
          <w:right w:val="single" w:color="AAAAAA" w:sz="4"/>
          <w:insideH w:val="single" w:color="AAAAAA" w:sz="4"/>
          <w:insideV w:val="single" w:color="AAAAAA" w:sz="4"/>
        </w:tblBorders>
      </w:tblPr>
      <w:tblGrid>
        <w:gridCol w:w="234"/>
        <w:gridCol w:w="81"/>
        <w:gridCol w:w="72"/>
        <w:gridCol w:w="72"/>
        <w:gridCol w:w="72"/>
        <w:gridCol w:w="81"/>
        <w:gridCol w:w="90"/>
      </w:tblGrid>
      <w:tr>
        <w:trPr>
          <w:tblHeader/>
        </w:trPr>
        <w:tc>
          <w:tcPr>
            <w:tcW w:type="pct" w:w="2.6%"/>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Condition</w:t>
            </w:r>
          </w:p>
        </w:tc>
        <w:tc>
          <w:tcPr>
            <w:tcW w:type="pct" w:w="0.9%"/>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Requests</w:t>
            </w:r>
          </w:p>
        </w:tc>
        <w:tc>
          <w:tcPr>
            <w:tcW w:type="pct" w:w="0.8%"/>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Req/sec</w:t>
            </w:r>
          </w:p>
        </w:tc>
        <w:tc>
          <w:tcPr>
            <w:tcW w:type="pct" w:w="0.8%"/>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p50</w:t>
            </w:r>
          </w:p>
        </w:tc>
        <w:tc>
          <w:tcPr>
            <w:tcW w:type="pct" w:w="0.8%"/>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p99</w:t>
            </w:r>
          </w:p>
        </w:tc>
        <w:tc>
          <w:tcPr>
            <w:tcW w:type="pct" w:w="0.9%"/>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Max latency</w:t>
            </w:r>
          </w:p>
        </w:tc>
        <w:tc>
          <w:tcPr>
            <w:tcW w:type="pct" w:w="1%"/>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Socket timeouts</w:t>
            </w:r>
          </w:p>
        </w:tc>
      </w:tr>
      <w:tr>
        <w:tc>
          <w:tcPr>
            <w:tcW w:type="pct" w:w="2.6%"/>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During deployment (dual-stack window active)</w:t>
            </w:r>
          </w:p>
        </w:tc>
        <w:tc>
          <w:tcPr>
            <w:tcW w:type="pct" w:w="0.9%"/>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3,096</w:t>
            </w:r>
          </w:p>
        </w:tc>
        <w:tc>
          <w:tcPr>
            <w:tcW w:type="pct" w:w="0.8%"/>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34.39</w:t>
            </w:r>
          </w:p>
        </w:tc>
        <w:tc>
          <w:tcPr>
            <w:tcW w:type="pct" w:w="0.8%"/>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w:t>
            </w:r>
          </w:p>
        </w:tc>
        <w:tc>
          <w:tcPr>
            <w:tcW w:type="pct" w:w="0.8%"/>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w:t>
            </w:r>
          </w:p>
        </w:tc>
        <w:tc>
          <w:tcPr>
            <w:tcW w:type="pct" w:w="0.9%"/>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3.75 s</w:t>
            </w:r>
          </w:p>
        </w:tc>
        <w:tc>
          <w:tcPr>
            <w:tcW w:type="pct" w:w="1%"/>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256 (7.6%)</w:t>
            </w:r>
          </w:p>
        </w:tc>
      </w:tr>
      <w:tr>
        <w:tc>
          <w:tcPr>
            <w:tcW w:type="pct" w:w="2.6%"/>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Steady-state control (no deployment running)</w:t>
            </w:r>
          </w:p>
        </w:tc>
        <w:tc>
          <w:tcPr>
            <w:tcW w:type="pct" w:w="0.9%"/>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4,504</w:t>
            </w:r>
          </w:p>
        </w:tc>
        <w:tc>
          <w:tcPr>
            <w:tcW w:type="pct" w:w="0.8%"/>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50.04</w:t>
            </w:r>
          </w:p>
        </w:tc>
        <w:tc>
          <w:tcPr>
            <w:tcW w:type="pct" w:w="0.8%"/>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7.56 ms</w:t>
            </w:r>
          </w:p>
        </w:tc>
        <w:tc>
          <w:tcPr>
            <w:tcW w:type="pct" w:w="0.8%"/>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150.14 ms</w:t>
            </w:r>
          </w:p>
        </w:tc>
        <w:tc>
          <w:tcPr>
            <w:tcW w:type="pct" w:w="0.9%"/>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241.54 ms</w:t>
            </w:r>
          </w:p>
        </w:tc>
        <w:tc>
          <w:tcPr>
            <w:tcW w:type="pct" w:w="1%"/>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0 (0.0%)</w:t>
            </w:r>
          </w:p>
        </w:tc>
      </w:tr>
    </w:tbl>
    <w:p>
      <w:pPr>
        <w:spacing w:after="240" w:before="80"/>
        <w:jc w:val="center"/>
      </w:pPr>
      <w:r>
        <w:rPr>
          <w:rFonts w:ascii="Calibri" w:cs="Calibri" w:eastAsia="Calibri" w:hAnsi="Calibri"/>
          <w:i/>
          <w:iCs/>
          <w:color w:val="555555"/>
          <w:sz w:val="18"/>
          <w:szCs w:val="18"/>
        </w:rPr>
        <w:t xml:space="preserve">Table 4. Controlled comparison: identical mixed workload, with and without a deployment in progress. Requests/timeouts reported as wrk2 counts requests separately from socket-level timeouts.</w:t>
      </w:r>
    </w:p>
    <w:p>
      <w:pPr>
        <w:spacing w:after="160"/>
        <w:jc w:val="both"/>
      </w:pPr>
      <w:r>
        <w:rPr>
          <w:rFonts w:ascii="Calibri" w:cs="Calibri" w:eastAsia="Calibri" w:hAnsi="Calibri"/>
          <w:sz w:val="22"/>
          <w:szCs w:val="22"/>
        </w:rPr>
        <w:t xml:space="preserve">The controlled comparison in Table 4 confirms the diagnosis directly. With no deployment running, the identical mixed workload sustained the full 50 req/s target rate with zero socket errors and a maximum observed latency of 241.54 ms across 4,504 requests. With a deployment in progress, throughput dropped to 34.39 req/s, maximum latency rose to 3.75 seconds, and 7.6% of requests timed out — despite the application-layer and gateway-layer fixes from Section 5.4 already being in place. The timeout rate therefore has a single, well-supported cause: transient CPU exhaustion from running both colours' JVMs concurrently on an 8-core host, not a defect in the application, the database access pattern, or the Nginx configuration.</w:t>
      </w:r>
    </w:p>
    <w:p>
      <w:pPr>
        <w:spacing w:after="160"/>
        <w:jc w:val="both"/>
      </w:pPr>
      <w:r>
        <w:rPr>
          <w:rFonts w:ascii="Calibri" w:cs="Calibri" w:eastAsia="Calibri" w:hAnsi="Calibri"/>
          <w:sz w:val="22"/>
          <w:szCs w:val="22"/>
        </w:rPr>
        <w:t xml:space="preserve">This reframes the earlier finding rather than resolving it away. The blue-green switch mechanism itself — the upstream rewrite, health-gated cutover, and request draining — causes zero measured client-observed downtime, exactly as reported in Section 5.2. Separately, and independently, blue-green deployment's structural requirement to run two full environments concurrently for a brief window has a real, measurable resource cost on constrained hardware, which manifests as degraded throughput and elevated tail latency for real clients during that window — not as connection failures, since the health-check probe throughout this window still recorded 100% success. Both results are genuine and are reported together as this paper's core empirical contribution.</w:t>
      </w:r>
    </w:p>
    <w:p>
      <w:pPr>
        <w:pStyle w:val="Heading1"/>
        <w:spacing w:after="140" w:before="280"/>
      </w:pPr>
      <w:r>
        <w:rPr>
          <w:rFonts w:ascii="Calibri" w:cs="Calibri" w:eastAsia="Calibri" w:hAnsi="Calibri"/>
        </w:rPr>
        <w:t xml:space="preserve">6. Discussion</w:t>
      </w:r>
    </w:p>
    <w:p>
      <w:pPr>
        <w:pStyle w:val="Heading2"/>
        <w:spacing w:after="140" w:before="280"/>
      </w:pPr>
      <w:r>
        <w:rPr>
          <w:rFonts w:ascii="Calibri" w:cs="Calibri" w:eastAsia="Calibri" w:hAnsi="Calibri"/>
        </w:rPr>
        <w:t xml:space="preserve">6.1 Interpreting the Zero-Downtime Result</w:t>
      </w:r>
    </w:p>
    <w:p>
      <w:pPr>
        <w:spacing w:after="160"/>
        <w:jc w:val="both"/>
      </w:pPr>
      <w:r>
        <w:rPr>
          <w:rFonts w:ascii="Calibri" w:cs="Calibri" w:eastAsia="Calibri" w:hAnsi="Calibri"/>
          <w:sz w:val="22"/>
          <w:szCs w:val="22"/>
        </w:rPr>
        <w:t xml:space="preserve">The 0 ms measured downtime across nine independent (run × endpoint) samples is a genuine, reproducible result for the mechanism being tested: the atomicity of the Nginx upstream switch, combined with request draining before the previous colour is stopped. It supports the core design claim — that a single-line upstream rewrite plus reload, gated by health checks on one side and drain-then-stop on the other, does not itself drop client requests. This holds even under the CPU contention documented in Section 5.4: the health-check probe recorded 100% success throughout every deployment run, including the runs where wrk2 recorded elevated business-endpoint timeouts at the same time. The switch mechanism did not fail; the host ran out of spare CPU to serve every request promptly while both colours briefly coexisted.</w:t>
      </w:r>
    </w:p>
    <w:p>
      <w:pPr>
        <w:pStyle w:val="Heading2"/>
        <w:spacing w:after="140" w:before="280"/>
      </w:pPr>
      <w:r>
        <w:rPr>
          <w:rFonts w:ascii="Calibri" w:cs="Calibri" w:eastAsia="Calibri" w:hAnsi="Calibri"/>
        </w:rPr>
        <w:t xml:space="preserve">6.2 The Dual-Stack CPU Contention Finding — Resolved and Explained</w:t>
      </w:r>
    </w:p>
    <w:p>
      <w:pPr>
        <w:spacing w:after="160"/>
        <w:jc w:val="both"/>
      </w:pPr>
      <w:r>
        <w:rPr>
          <w:rFonts w:ascii="Calibri" w:cs="Calibri" w:eastAsia="Calibri" w:hAnsi="Calibri"/>
          <w:sz w:val="22"/>
          <w:szCs w:val="22"/>
        </w:rPr>
        <w:t xml:space="preserve">An earlier iteration of this evaluation treated the wrk2 timeout rate as an open question. Three application- and gateway-layer fixes were attempted in sequence — removing a transaction boundary that held a database connection open across outbound HTTP calls in order-service, distributing synthetic orders across ten products instead of one to remove pessimistic-lock contention on a single inventory row, and enabling Nginx keepalive at both gateway tiers to eliminate per-request TCP connection churn — and none of them moved the timeout count (it remained in the 320–360 range, run over run). That flat result was itself the useful signal: it ruled out the database, the application's transaction handling, and the network layer as the cause, and pointed toward something structural rather than a fixable code defect.</w:t>
      </w:r>
    </w:p>
    <w:p>
      <w:pPr>
        <w:spacing w:after="160"/>
        <w:jc w:val="both"/>
      </w:pPr>
      <w:r>
        <w:rPr>
          <w:rFonts w:ascii="Calibri" w:cs="Calibri" w:eastAsia="Calibri" w:hAnsi="Calibri"/>
          <w:sz w:val="22"/>
          <w:szCs w:val="22"/>
        </w:rPr>
        <w:t xml:space="preserve">Container-level CPU profiling during a live deployment (Section 5.4, Table 4) confirmed the actual cause: for roughly 33–41 seconds per deployment, six JVM containers (three outgoing, three incoming) run concurrently on an 8-core host, with combined CPU demand peaking at 87–91% of total capacity. A controlled experiment — running the identical workload with no deployment in progress — sustained the full 50 req/s target rate with zero socket errors, directly confirming that the timeouts are attributable to the deployment window's transient resource demand and not to any steady-state defect. This is not a bug to be fixed so much as a structural, quantifiable property of blue-green deployment: running two full environments simultaneously, even briefly, requires roughly double the steady-state compute capacity, and a host provisioned only for steady-state load will show degraded throughput and tail latency for real clients during that window — even while the deployment mechanism itself drops zero connections.</w:t>
      </w:r>
    </w:p>
    <w:p>
      <w:pPr>
        <w:spacing w:after="160"/>
        <w:jc w:val="both"/>
      </w:pPr>
      <w:r>
        <w:rPr>
          <w:rFonts w:ascii="Calibri" w:cs="Calibri" w:eastAsia="Calibri" w:hAnsi="Calibri"/>
          <w:sz w:val="22"/>
          <w:szCs w:val="22"/>
        </w:rPr>
        <w:t xml:space="preserve">Practically, this suggests two directions for hosts with headroom constraints similar to the one used here: (a) provision deployment hosts with capacity headroom above steady-state peak load, sized to absorb one full additional environment's worth of JVM warm-up demand; or (b) stagger the target environment's startup (e.g. sequential rather than concurrent service builds/starts within build_images and start_stack) to spread the CPU spike over a longer window at lower peak intensity, trading total deployment time for reduced peak contention. Both are natural extensions of the existing role library and are proposed as future work in Section 7.</w:t>
      </w:r>
    </w:p>
    <w:p>
      <w:pPr>
        <w:pStyle w:val="Heading2"/>
        <w:spacing w:after="140" w:before="280"/>
      </w:pPr>
      <w:r>
        <w:rPr>
          <w:rFonts w:ascii="Calibri" w:cs="Calibri" w:eastAsia="Calibri" w:hAnsi="Calibri"/>
        </w:rPr>
        <w:t xml:space="preserve">6.3 Other Limitations</w:t>
      </w:r>
    </w:p>
    <w:p>
      <w:pPr>
        <w:pStyle w:val="ListParagraph"/>
        <w:numPr>
          <w:ilvl w:val="0"/>
          <w:numId w:val="2"/>
        </w:numPr>
        <w:spacing w:after="80"/>
      </w:pPr>
      <w:r>
        <w:rPr>
          <w:rFonts w:ascii="Calibri" w:cs="Calibri" w:eastAsia="Calibri" w:hAnsi="Calibri"/>
          <w:sz w:val="22"/>
          <w:szCs w:val="22"/>
        </w:rPr>
        <w:t xml:space="preserve">Probe target vs. business endpoint: the fine-grained downtime probe measures availability of each service's Actuator health endpoint, not the full business-logic path (e.g. a product lookup or order placement). Actuator health is lightweight and, as Section 5.4 shows, remained 100% available even during peak CPU contention; the 0 ms downtime figure should be read as downtime for service availability at the gateway/routing layer specifically, which is what the blue-green switch mechanism is responsible for. Real client-facing latency during the dual-stack window is separately and directly quantified in Table 4.</w:t>
      </w:r>
    </w:p>
    <w:p>
      <w:pPr>
        <w:pStyle w:val="ListParagraph"/>
        <w:numPr>
          <w:ilvl w:val="0"/>
          <w:numId w:val="2"/>
        </w:numPr>
        <w:spacing w:after="80"/>
      </w:pPr>
      <w:r>
        <w:rPr>
          <w:rFonts w:ascii="Calibri" w:cs="Calibri" w:eastAsia="Calibri" w:hAnsi="Calibri"/>
          <w:sz w:val="22"/>
          <w:szCs w:val="22"/>
        </w:rPr>
        <w:t xml:space="preserve">Single-host, single-run-at-a-time evaluation: all runs were executed sequentially on one development machine rather than under production-representative concurrent user load or across a distributed deployment target; the 8-core, 15 GiB host used here is one specific hardware configuration, and the dual-stack contention window's severity will scale with available headroom on other hosts.</w:t>
      </w:r>
    </w:p>
    <w:p>
      <w:pPr>
        <w:pStyle w:val="ListParagraph"/>
        <w:numPr>
          <w:ilvl w:val="0"/>
          <w:numId w:val="2"/>
        </w:numPr>
        <w:spacing w:after="80"/>
      </w:pPr>
      <w:r>
        <w:rPr>
          <w:rFonts w:ascii="Calibri" w:cs="Calibri" w:eastAsia="Calibri" w:hAnsi="Calibri"/>
          <w:sz w:val="22"/>
          <w:szCs w:val="22"/>
        </w:rPr>
        <w:t xml:space="preserve">Service count: the evaluated system comprises three business microservices (product, inventory, order) plus two gateway tiers, rather than five independently deployable business services as referenced in the original project brief; this affects the generality claim of the results but not the correctness of the deployment/rollback/measurement mechanisms themselves, which are service-count-agnostic by design. It would, however, be expected to worsen the CPU contention finding in Section 5.4, since more services means more concurrent JVMs during the dual-stack window.</w:t>
      </w:r>
    </w:p>
    <w:p>
      <w:pPr>
        <w:pStyle w:val="ListParagraph"/>
        <w:numPr>
          <w:ilvl w:val="0"/>
          <w:numId w:val="2"/>
        </w:numPr>
        <w:spacing w:after="80"/>
      </w:pPr>
      <w:r>
        <w:rPr>
          <w:rFonts w:ascii="Calibri" w:cs="Calibri" w:eastAsia="Calibri" w:hAnsi="Calibri"/>
          <w:sz w:val="22"/>
          <w:szCs w:val="22"/>
        </w:rPr>
        <w:t xml:space="preserve">Sample size: six deployment/control runs is sufficient to demonstrate reproducibility of both the zero-downtime result and the CPU-contention finding, but is a small sample for statistical claims; a production-grade evaluation would repeat this across dozens of runs.</w:t>
      </w:r>
    </w:p>
    <w:p>
      <w:pPr>
        <w:pStyle w:val="Heading1"/>
        <w:spacing w:after="140" w:before="280"/>
      </w:pPr>
      <w:r>
        <w:rPr>
          <w:rFonts w:ascii="Calibri" w:cs="Calibri" w:eastAsia="Calibri" w:hAnsi="Calibri"/>
        </w:rPr>
        <w:t xml:space="preserve">7. Conclusion and Future Work</w:t>
      </w:r>
    </w:p>
    <w:p>
      <w:pPr>
        <w:spacing w:after="160"/>
        <w:jc w:val="both"/>
      </w:pPr>
      <w:r>
        <w:rPr>
          <w:rFonts w:ascii="Calibri" w:cs="Calibri" w:eastAsia="Calibri" w:hAnsi="Calibri"/>
          <w:sz w:val="22"/>
          <w:szCs w:val="22"/>
        </w:rPr>
        <w:t xml:space="preserve">This work implemented and evaluated a role-based Ansible framework for blue-green deployment of a containerised microservice application, adding automated and manual rollback with configurable thresholds, and a two-instrument downtime-measurement harness that separates deployment time, router-switch time, and client-observed downtime as distinct metrics. Across independent deployment runs, the framework achieved 2.3–3.5 second Nginx switch times within 55–61 second total deployments, with zero measured client-observed downtime at the gateway health-check layer across every run. A secondary investigation into an elevated wrk2 timeout rate observed against the live business endpoints during deployment was fully root-caused through container-level CPU profiling and a controlled steady-state comparison: the timeouts stem from transient CPU contention while both colours' JVMs run concurrently on an 8-core host, not from any defect in the application, database access pattern, or gateway configuration, and disappear entirely (0 timeouts, full 50 req/s target rate sustained) when no deployment is in progress. The result is two independently defensible findings: the blue-green switch mechanism itself is zero-downtime, and blue-green deployment carries a real, quantifiable, and now-measured CPU cost during the brief dual-environment window, distinct from and not contradicting the first finding.</w:t>
      </w:r>
    </w:p>
    <w:p>
      <w:pPr>
        <w:spacing w:after="160"/>
        <w:jc w:val="both"/>
      </w:pPr>
      <w:r>
        <w:rPr>
          <w:rFonts w:ascii="Calibri" w:cs="Calibri" w:eastAsia="Calibri" w:hAnsi="Calibri"/>
          <w:sz w:val="22"/>
          <w:szCs w:val="22"/>
        </w:rPr>
        <w:t xml:space="preserve">Planned future work includes:</w:t>
      </w:r>
    </w:p>
    <w:p>
      <w:pPr>
        <w:pStyle w:val="ListParagraph"/>
        <w:numPr>
          <w:ilvl w:val="0"/>
          <w:numId w:val="2"/>
        </w:numPr>
        <w:spacing w:after="80"/>
      </w:pPr>
      <w:r>
        <w:rPr>
          <w:rFonts w:ascii="Calibri" w:cs="Calibri" w:eastAsia="Calibri" w:hAnsi="Calibri"/>
          <w:sz w:val="22"/>
          <w:szCs w:val="22"/>
        </w:rPr>
        <w:t xml:space="preserve">Evaluating the two mitigations proposed in Section 6.2 — provisioning deployment hosts with headroom above steady-state peak, and staggering target-environment service startup within the build_images/start_stack roles to spread CPU demand over a longer, lower-intensity window — and re-measuring the dual-stack contention window's duration and peak CPU under each.</w:t>
      </w:r>
    </w:p>
    <w:p>
      <w:pPr>
        <w:pStyle w:val="ListParagraph"/>
        <w:numPr>
          <w:ilvl w:val="0"/>
          <w:numId w:val="2"/>
        </w:numPr>
        <w:spacing w:after="80"/>
      </w:pPr>
      <w:r>
        <w:rPr>
          <w:rFonts w:ascii="Calibri" w:cs="Calibri" w:eastAsia="Calibri" w:hAnsi="Calibri"/>
          <w:sz w:val="22"/>
          <w:szCs w:val="22"/>
        </w:rPr>
        <w:t xml:space="preserve">Deliberate failure injection (killing a target-colour container mid-deploy, forcing a health-check timeout) to empirically validate the automated rollback path end-to-end, with the same downtime-measurement methodology applied to the rollback itself.</w:t>
      </w:r>
    </w:p>
    <w:p>
      <w:pPr>
        <w:pStyle w:val="ListParagraph"/>
        <w:numPr>
          <w:ilvl w:val="0"/>
          <w:numId w:val="2"/>
        </w:numPr>
        <w:spacing w:after="80"/>
      </w:pPr>
      <w:r>
        <w:rPr>
          <w:rFonts w:ascii="Calibri" w:cs="Calibri" w:eastAsia="Calibri" w:hAnsi="Calibri"/>
          <w:sz w:val="22"/>
          <w:szCs w:val="22"/>
        </w:rPr>
        <w:t xml:space="preserve">Extending the probe to hit business endpoints (not just health checks) at the same 20 ms resolution, to directly measure business-transaction latency during the dual-stack window rather than inferring it from wrk2 aggregate statistics.</w:t>
      </w:r>
    </w:p>
    <w:p>
      <w:pPr>
        <w:pStyle w:val="ListParagraph"/>
        <w:numPr>
          <w:ilvl w:val="0"/>
          <w:numId w:val="2"/>
        </w:numPr>
        <w:spacing w:after="80"/>
      </w:pPr>
      <w:r>
        <w:rPr>
          <w:rFonts w:ascii="Calibri" w:cs="Calibri" w:eastAsia="Calibri" w:hAnsi="Calibri"/>
          <w:sz w:val="22"/>
          <w:szCs w:val="22"/>
        </w:rPr>
        <w:t xml:space="preserve">Scaling the evaluation to a multi-host or cloud target with more available headroom, to quantify how the dual-stack contention window shrinks as host capacity grows relative to steady-state load.</w:t>
      </w:r>
    </w:p>
    <w:p>
      <w:pPr>
        <w:pStyle w:val="ListParagraph"/>
        <w:numPr>
          <w:ilvl w:val="0"/>
          <w:numId w:val="2"/>
        </w:numPr>
        <w:spacing w:after="80"/>
      </w:pPr>
      <w:r>
        <w:rPr>
          <w:rFonts w:ascii="Calibri" w:cs="Calibri" w:eastAsia="Calibri" w:hAnsi="Calibri"/>
          <w:sz w:val="22"/>
          <w:szCs w:val="22"/>
        </w:rPr>
        <w:t xml:space="preserve">Publishing an accompanying practitioner tutorial (targeting The New Stack, DZone, or the CNCF blog per the original project brief) walking through the role library, rollback design, and — given how instructive it was in this project — the root-cause investigation methodology itself: how a flat metric across independent fixes pointed to a structural rather than a code-level cause.</w:t>
      </w:r>
    </w:p>
    <w:p>
      <w:pPr>
        <w:pStyle w:val="Heading1"/>
        <w:spacing w:after="140" w:before="280"/>
      </w:pPr>
      <w:r>
        <w:rPr>
          <w:rFonts w:ascii="Calibri" w:cs="Calibri" w:eastAsia="Calibri" w:hAnsi="Calibri"/>
        </w:rPr>
        <w:t xml:space="preserve">References</w:t>
      </w:r>
    </w:p>
    <w:p>
      <w:pPr>
        <w:spacing w:after="160"/>
        <w:jc w:val="both"/>
      </w:pPr>
      <w:r>
        <w:rPr>
          <w:rFonts w:ascii="Calibri" w:cs="Calibri" w:eastAsia="Calibri" w:hAnsi="Calibri"/>
          <w:sz w:val="22"/>
          <w:szCs w:val="22"/>
        </w:rPr>
        <w:t xml:space="preserve">[1] M. Fowler, “BlueGreenDeployment,” martinfowler.com. https://martinfowler.com/bliki/BlueGreenDeployment.html</w:t>
      </w:r>
    </w:p>
    <w:p>
      <w:pPr>
        <w:spacing w:after="160"/>
        <w:jc w:val="both"/>
      </w:pPr>
      <w:r>
        <w:rPr>
          <w:rFonts w:ascii="Calibri" w:cs="Calibri" w:eastAsia="Calibri" w:hAnsi="Calibri"/>
          <w:sz w:val="22"/>
          <w:szCs w:val="22"/>
        </w:rPr>
        <w:t xml:space="preserve">[2] Ansible Documentation, “Error Handling in Playbooks (block / rescue / always),” docs.ansible.com. https://docs.ansible.com/ansible/latest/playbook_guide/playbooks_blocks.html</w:t>
      </w:r>
    </w:p>
    <w:p>
      <w:pPr>
        <w:spacing w:after="160"/>
        <w:jc w:val="both"/>
      </w:pPr>
      <w:r>
        <w:rPr>
          <w:rFonts w:ascii="Calibri" w:cs="Calibri" w:eastAsia="Calibri" w:hAnsi="Calibri"/>
          <w:sz w:val="22"/>
          <w:szCs w:val="22"/>
        </w:rPr>
        <w:t xml:space="preserve">[3] Ansible Documentation, “Roles,” docs.ansible.com. https://docs.ansible.com/ansible/latest/playbook_guide/playbooks_reuse_roles.html</w:t>
      </w:r>
    </w:p>
    <w:p>
      <w:pPr>
        <w:spacing w:after="160"/>
        <w:jc w:val="both"/>
      </w:pPr>
      <w:r>
        <w:rPr>
          <w:rFonts w:ascii="Calibri" w:cs="Calibri" w:eastAsia="Calibri" w:hAnsi="Calibri"/>
          <w:sz w:val="22"/>
          <w:szCs w:val="22"/>
        </w:rPr>
        <w:t xml:space="preserve">[4] Nginx Documentation, “HTTP Load Balancing,” nginx.org. https://nginx.org/en/docs/http/load_balancing.html</w:t>
      </w:r>
    </w:p>
    <w:p>
      <w:pPr>
        <w:spacing w:after="160"/>
        <w:jc w:val="both"/>
      </w:pPr>
      <w:r>
        <w:rPr>
          <w:rFonts w:ascii="Calibri" w:cs="Calibri" w:eastAsia="Calibri" w:hAnsi="Calibri"/>
          <w:sz w:val="22"/>
          <w:szCs w:val="22"/>
        </w:rPr>
        <w:t xml:space="preserve">[5] G. Tene et al., “wrk2: A constant throughput, correct latency recording variant of wrk,” GitHub. https://github.com/giltene/wrk2</w:t>
      </w:r>
    </w:p>
    <w:p>
      <w:pPr>
        <w:spacing w:after="160"/>
        <w:jc w:val="both"/>
      </w:pPr>
      <w:r>
        <w:rPr>
          <w:rFonts w:ascii="Calibri" w:cs="Calibri" w:eastAsia="Calibri" w:hAnsi="Calibri"/>
          <w:sz w:val="22"/>
          <w:szCs w:val="22"/>
        </w:rPr>
        <w:t xml:space="preserve">[6] Spring Boot Documentation, “Production-ready Features (Actuator),” docs.spring.io. https://docs.spring.io/spring-boot/reference/actuator/index.html</w:t>
      </w:r>
    </w:p>
    <w:p>
      <w:pPr>
        <w:spacing w:after="160"/>
        <w:jc w:val="both"/>
      </w:pPr>
      <w:r>
        <w:rPr>
          <w:rFonts w:ascii="Calibri" w:cs="Calibri" w:eastAsia="Calibri" w:hAnsi="Calibri"/>
          <w:sz w:val="22"/>
          <w:szCs w:val="22"/>
        </w:rPr>
        <w:t xml:space="preserve">[7] Docker Documentation, “docker stats,” docs.docker.com. https://docs.docker.com/reference/cli/docker/container/stats/</w:t>
      </w:r>
    </w:p>
    <w:p>
      <w:pPr>
        <w:pStyle w:val="Heading1"/>
        <w:spacing w:after="140" w:before="280"/>
      </w:pPr>
      <w:r>
        <w:rPr>
          <w:rFonts w:ascii="Calibri" w:cs="Calibri" w:eastAsia="Calibri" w:hAnsi="Calibri"/>
        </w:rPr>
        <w:t xml:space="preserve">Appendix A. Deliverables Checklist</w:t>
      </w:r>
    </w:p>
    <w:p>
      <w:pPr>
        <w:spacing w:after="160"/>
        <w:jc w:val="both"/>
      </w:pPr>
      <w:r>
        <w:rPr>
          <w:rFonts w:ascii="Calibri" w:cs="Calibri" w:eastAsia="Calibri" w:hAnsi="Calibri"/>
          <w:sz w:val="22"/>
          <w:szCs w:val="22"/>
        </w:rPr>
        <w:t xml:space="preserve">Status against the five deliverables specified in the original project brief (P08):</w:t>
      </w:r>
    </w:p>
    <w:tbl>
      <w:tblPr>
        <w:tblW w:type="pct" w:w="100%"/>
        <w:tblBorders>
          <w:top w:val="single" w:color="AAAAAA" w:sz="4"/>
          <w:left w:val="single" w:color="AAAAAA" w:sz="4"/>
          <w:bottom w:val="single" w:color="AAAAAA" w:sz="4"/>
          <w:right w:val="single" w:color="AAAAAA" w:sz="4"/>
          <w:insideH w:val="single" w:color="AAAAAA" w:sz="4"/>
          <w:insideV w:val="single" w:color="AAAAAA" w:sz="4"/>
        </w:tblBorders>
      </w:tblPr>
      <w:tblGrid>
        <w:gridCol w:w="198"/>
        <w:gridCol w:w="81"/>
        <w:gridCol w:w="261"/>
      </w:tblGrid>
      <w:tr>
        <w:trPr>
          <w:tblHeader/>
        </w:trPr>
        <w:tc>
          <w:tcPr>
            <w:tcW w:type="pct" w:w="2.2%"/>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Deliverable</w:t>
            </w:r>
          </w:p>
        </w:tc>
        <w:tc>
          <w:tcPr>
            <w:tcW w:type="pct" w:w="0.9%"/>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Status</w:t>
            </w:r>
          </w:p>
        </w:tc>
        <w:tc>
          <w:tcPr>
            <w:tcW w:type="pct" w:w="2.9%"/>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Notes</w:t>
            </w:r>
          </w:p>
        </w:tc>
      </w:tr>
      <w:tr>
        <w:tc>
          <w:tcPr>
            <w:tcW w:type="pct" w:w="2.2%"/>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Ansible role library (reusable, idempotent)</w:t>
            </w:r>
          </w:p>
        </w:tc>
        <w:tc>
          <w:tcPr>
            <w:tcW w:type="pct" w:w="0.9%"/>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Complete</w:t>
            </w:r>
          </w:p>
        </w:tc>
        <w:tc>
          <w:tcPr>
            <w:tcW w:type="pct" w:w="2.9%"/>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7 roles under ansible/roles/; thresholds externalised to vars/thresholds.yml</w:t>
            </w:r>
          </w:p>
        </w:tc>
      </w:tr>
      <w:tr>
        <w:tc>
          <w:tcPr>
            <w:tcW w:type="pct" w:w="2.2%"/>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Demo microservice application</w:t>
            </w:r>
          </w:p>
        </w:tc>
        <w:tc>
          <w:tcPr>
            <w:tcW w:type="pct" w:w="0.9%"/>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Partial</w:t>
            </w:r>
          </w:p>
        </w:tc>
        <w:tc>
          <w:tcPr>
            <w:tcW w:type="pct" w:w="2.9%"/>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3 business services (product, inventory, order) + 2 gateway tiers implemented; brief specifies 5 services — see Section 6.3</w:t>
            </w:r>
          </w:p>
        </w:tc>
      </w:tr>
      <w:tr>
        <w:tc>
          <w:tcPr>
            <w:tcW w:type="pct" w:w="2.2%"/>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Load test harness and measured downtime results</w:t>
            </w:r>
          </w:p>
        </w:tc>
        <w:tc>
          <w:tcPr>
            <w:tcW w:type="pct" w:w="0.9%"/>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Complete</w:t>
            </w:r>
          </w:p>
        </w:tc>
        <w:tc>
          <w:tcPr>
            <w:tcW w:type="pct" w:w="2.9%"/>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wrk2 + Python probe + analyzer in loadtest/; results in Section 5; timeout rate fully root-caused in Section 5.4/6.2</w:t>
            </w:r>
          </w:p>
        </w:tc>
      </w:tr>
      <w:tr>
        <w:tc>
          <w:tcPr>
            <w:tcW w:type="pct" w:w="2.2%"/>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Rollback playbook with configurable thresholds</w:t>
            </w:r>
          </w:p>
        </w:tc>
        <w:tc>
          <w:tcPr>
            <w:tcW w:type="pct" w:w="0.9%"/>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Complete</w:t>
            </w:r>
          </w:p>
        </w:tc>
        <w:tc>
          <w:tcPr>
            <w:tcW w:type="pct" w:w="2.9%"/>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Automatic (block/rescue in deploy-blue-green.yml, switch.yml) and manual (rollback.yml); thresholds in vars/thresholds.yml</w:t>
            </w:r>
          </w:p>
        </w:tc>
      </w:tr>
      <w:tr>
        <w:tc>
          <w:tcPr>
            <w:tcW w:type="pct" w:w="2.2%"/>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Tutorial article</w:t>
            </w:r>
          </w:p>
        </w:tc>
        <w:tc>
          <w:tcPr>
            <w:tcW w:type="pct" w:w="0.9%"/>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Not started</w:t>
            </w:r>
          </w:p>
        </w:tc>
        <w:tc>
          <w:tcPr>
            <w:tcW w:type="pct" w:w="2.9%"/>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Recommended as future work (Section 7) once Section 6.2 is resolved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t xml:space="preserve">Page </w:t>
    </w:r>
    <w:r>
      <w:rPr>
        <w:rFonts w:ascii="Calibri" w:cs="Calibri" w:eastAsia="Calibri" w:hAnsi="Calibri"/>
        <w:color w:val="888888"/>
        <w:sz w:val="18"/>
        <w:szCs w:val="18"/>
      </w:rPr>
      <w:fldChar w:fldCharType="begin"/>
      <w:instrText xml:space="preserve">PAGE</w:instrText>
      <w:fldChar w:fldCharType="separate"/>
      <w:fldChar w:fldCharType="end"/>
    </w:r>
    <w:r>
      <w:rPr>
        <w:rFonts w:ascii="Calibri" w:cs="Calibri" w:eastAsia="Calibri" w:hAnsi="Calibri"/>
        <w:color w:val="888888"/>
        <w:sz w:val="18"/>
        <w:szCs w:val="18"/>
      </w:rPr>
      <w:t xml:space="preserve"> of </w:t>
    </w:r>
    <w:r>
      <w:rPr>
        <w:rFonts w:ascii="Calibri" w:cs="Calibri" w:eastAsia="Calibri" w:hAnsi="Calibri"/>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6"/>
        <w:szCs w:val="16"/>
      </w:rPr>
      <w:t xml:space="preserve">Zero-Downtime Blue-Green Deployment — IIIT-B,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2026-07-24T18:23:32.092Z</dcterms:created>
  <dcterms:modified xsi:type="dcterms:W3CDTF">2026-07-24T18:23:32.105Z</dcterms:modified>
</cp:coreProperties>
</file>

<file path=docProps/custom.xml><?xml version="1.0" encoding="utf-8"?>
<Properties xmlns="http://schemas.openxmlformats.org/officeDocument/2006/custom-properties" xmlns:vt="http://schemas.openxmlformats.org/officeDocument/2006/docPropsVTypes"/>
</file>