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  <w:jc w:val="center"/>
      </w:pPr>
      <w:r>
        <w:rPr>
          <w:b/>
          <w:bCs/>
          <w:sz w:val="44"/>
          <w:szCs w:val="44"/>
        </w:rPr>
        <w:t xml:space="preserve">Research Gaps</w:t>
      </w:r>
    </w:p>
    <w:p>
      <w:pPr>
        <w:spacing w:after="160"/>
      </w:pPr>
      <w:r>
        <w:t xml:space="preserve">Organized into five major categories. (Phase 6 draft — refine after completing the literature matrix.)</w:t>
      </w:r>
    </w:p>
    <w:p>
      <w:pPr>
        <w:pStyle w:val="Heading1"/>
        <w:spacing w:after="160" w:before="240"/>
      </w:pPr>
      <w:r>
        <w:t xml:space="preserve">Gap 1 — Small Datasets</w:t>
      </w:r>
    </w:p>
    <w:p>
      <w:pPr>
        <w:spacing w:after="160"/>
      </w:pPr>
      <w:r>
        <w:t xml:space="preserve">Deep Learning usually requires substantial data. Small PD datasets can result in overfitting, high variance, unstable performance, and poor generalization.</w:t>
      </w:r>
    </w:p>
    <w:p>
      <w:pPr>
        <w:spacing w:after="160"/>
      </w:pPr>
      <w:r>
        <w:t xml:space="preserve">Guiding question: Can a carefully regularized DL model generalize reliably on small PD datasets?</w:t>
      </w:r>
    </w:p>
    <w:p>
      <w:pPr>
        <w:pStyle w:val="Heading1"/>
        <w:spacing w:after="160" w:before="240"/>
      </w:pPr>
      <w:r>
        <w:t xml:space="preserve">Gap 2 — Data Leakage</w:t>
      </w:r>
    </w:p>
    <w:p>
      <w:pPr>
        <w:spacing w:after="160"/>
      </w:pPr>
      <w:r>
        <w:t xml:space="preserve">A major issue occurs when recordings from the same patient appear in both training and testing. The model may learn patient-specific characteristics instead of Parkinson's-related patterns.</w:t>
      </w:r>
    </w:p>
    <w:p>
      <w:pPr>
        <w:spacing w:after="160"/>
      </w:pPr>
      <w:r>
        <w:t xml:space="preserve">Guiding question: Prefer GroupKFold, Leave-One-Subject-Out, or a patient-level train/validation/test split.</w:t>
      </w:r>
    </w:p>
    <w:p>
      <w:pPr>
        <w:pStyle w:val="Heading1"/>
        <w:spacing w:after="160" w:before="240"/>
      </w:pPr>
      <w:r>
        <w:t xml:space="preserve">Gap 3 — ML vs DL Generalization</w:t>
      </w:r>
    </w:p>
    <w:p>
      <w:pPr>
        <w:spacing w:after="160"/>
      </w:pPr>
      <w:r>
        <w:t xml:space="preserve">A DL model may obtain higher accuracy but still generalize poorly.</w:t>
      </w:r>
    </w:p>
    <w:p>
      <w:pPr>
        <w:spacing w:after="160"/>
      </w:pPr>
      <w:r>
        <w:t xml:space="preserve">Guiding question: Compare ML → DNN → CNN → LSTM/GRU under exactly the same patient-aware evaluation framework.</w:t>
      </w:r>
    </w:p>
    <w:p>
      <w:pPr>
        <w:pStyle w:val="Heading1"/>
        <w:spacing w:after="160" w:before="240"/>
      </w:pPr>
      <w:r>
        <w:t xml:space="preserve">Gap 4 — Explainability and Representation Stability</w:t>
      </w:r>
    </w:p>
    <w:p>
      <w:pPr>
        <w:spacing w:after="160"/>
      </w:pPr>
      <w:r>
        <w:t xml:space="preserve">For classical ML: which acoustic features consistently matter? For DL: which parts of the signal/spectrogram influence the prediction?</w:t>
      </w:r>
    </w:p>
    <w:p>
      <w:pPr>
        <w:spacing w:after="160"/>
      </w:pPr>
      <w:r>
        <w:t xml:space="preserve">Guiding question: Are the explanations stable across folds and models? (SHAP, permutation importance, Integrated Gradients, Grad-CAM)</w:t>
      </w:r>
    </w:p>
    <w:p>
      <w:pPr>
        <w:pStyle w:val="Heading1"/>
        <w:spacing w:after="160" w:before="240"/>
      </w:pPr>
      <w:r>
        <w:t xml:space="preserve">Gap 5 — Reliability and Calibration</w:t>
      </w:r>
    </w:p>
    <w:p>
      <w:pPr>
        <w:spacing w:after="160"/>
      </w:pPr>
      <w:r>
        <w:t xml:space="preserve">Accuracy alone is insufficient. A model predicting Parkinson's probability = 95% should ideally have a meaningful relationship between predicted probability and observed outcomes.</w:t>
      </w:r>
    </w:p>
    <w:p>
      <w:pPr>
        <w:spacing w:after="160"/>
      </w:pPr>
      <w:r>
        <w:t xml:space="preserve">Guiding question: Evaluate ROC-AUC, PR-AUC, Brier score, calibration curve, ECE, sensitivity, specificity, F1-score.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2026-09-08T09:21:29.195Z</dcterms:created>
  <dcterms:modified xsi:type="dcterms:W3CDTF">2026-09-08T09:21:29.195Z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