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8A16" w14:textId="21F87F94" w:rsidR="001F18EB" w:rsidRDefault="00A665E4" w:rsidP="001F18EB">
      <w:pPr>
        <w:pStyle w:val="TituloApartado1"/>
        <w:rPr>
          <w:rFonts w:ascii="Times New Roman" w:hAnsi="Times New Roman"/>
          <w:lang w:val="en-US"/>
        </w:rPr>
      </w:pPr>
      <w:bookmarkStart w:id="0" w:name="_Toc459888455"/>
      <w:r w:rsidRPr="001F18EB"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4B5C5D18" wp14:editId="25A0551F">
            <wp:simplePos x="0" y="0"/>
            <wp:positionH relativeFrom="column">
              <wp:posOffset>3439795</wp:posOffset>
            </wp:positionH>
            <wp:positionV relativeFrom="paragraph">
              <wp:posOffset>-701040</wp:posOffset>
            </wp:positionV>
            <wp:extent cx="1104368" cy="590550"/>
            <wp:effectExtent l="0" t="0" r="635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368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18EB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1EC2DF4E" wp14:editId="0F30539A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101088898"/>
      <w:bookmarkEnd w:id="0"/>
      <w:r w:rsidRPr="001F18EB">
        <w:rPr>
          <w:rFonts w:ascii="Times New Roman" w:hAnsi="Times New Roman"/>
          <w:lang w:val="en-US"/>
        </w:rPr>
        <w:t xml:space="preserve">Activity </w:t>
      </w:r>
      <w:r w:rsidR="002D18AD">
        <w:rPr>
          <w:rFonts w:ascii="Times New Roman" w:hAnsi="Times New Roman"/>
          <w:lang w:val="en-US"/>
        </w:rPr>
        <w:t>2</w:t>
      </w:r>
      <w:r w:rsidRPr="001F18EB">
        <w:rPr>
          <w:rFonts w:ascii="Times New Roman" w:hAnsi="Times New Roman"/>
          <w:lang w:val="en-US"/>
        </w:rPr>
        <w:t xml:space="preserve"> </w:t>
      </w:r>
      <w:r w:rsidR="001F18EB" w:rsidRPr="001F18EB">
        <w:rPr>
          <w:rFonts w:ascii="Times New Roman" w:hAnsi="Times New Roman"/>
          <w:lang w:val="en-US"/>
        </w:rPr>
        <w:t>Measurements</w:t>
      </w:r>
      <w:bookmarkEnd w:id="1"/>
    </w:p>
    <w:tbl>
      <w:tblPr>
        <w:tblW w:w="87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2"/>
        <w:gridCol w:w="1670"/>
        <w:gridCol w:w="937"/>
        <w:gridCol w:w="1784"/>
        <w:gridCol w:w="1047"/>
        <w:gridCol w:w="1720"/>
        <w:gridCol w:w="987"/>
      </w:tblGrid>
      <w:tr w:rsidR="00C27549" w:rsidRPr="00194C73" w14:paraId="5E0FCDB3" w14:textId="77777777" w:rsidTr="00C27549">
        <w:trPr>
          <w:trHeight w:val="242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34B7639B" w14:textId="77777777" w:rsidR="00194C73" w:rsidRPr="00194C73" w:rsidRDefault="00194C73" w:rsidP="00194C73">
            <w:pPr>
              <w:spacing w:line="240" w:lineRule="auto"/>
              <w:jc w:val="center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7A7512F0" w14:textId="77777777" w:rsidR="00194C73" w:rsidRPr="00194C73" w:rsidRDefault="00194C73" w:rsidP="00194C73">
            <w:pPr>
              <w:spacing w:line="240" w:lineRule="auto"/>
              <w:jc w:val="center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Time_BT_balancing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78647506" w14:textId="77777777" w:rsidR="00194C73" w:rsidRPr="00194C73" w:rsidRDefault="00194C73" w:rsidP="00194C73">
            <w:pPr>
              <w:spacing w:line="240" w:lineRule="auto"/>
              <w:jc w:val="center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Time_BnB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40EA607D" w14:textId="77777777" w:rsidR="00194C73" w:rsidRPr="00194C73" w:rsidRDefault="00194C73" w:rsidP="00194C73">
            <w:pPr>
              <w:spacing w:line="240" w:lineRule="auto"/>
              <w:jc w:val="center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Nodes_BT_Balancing</w:t>
            </w:r>
            <w:proofErr w:type="spellEnd"/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7A84783E" w14:textId="77777777" w:rsidR="00194C73" w:rsidRPr="00194C73" w:rsidRDefault="00194C73" w:rsidP="00194C73">
            <w:pPr>
              <w:spacing w:line="240" w:lineRule="auto"/>
              <w:jc w:val="center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Nodes_BnB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4705E4C0" w14:textId="77777777" w:rsidR="00194C73" w:rsidRPr="00194C73" w:rsidRDefault="00194C73" w:rsidP="00194C73">
            <w:pPr>
              <w:spacing w:line="240" w:lineRule="auto"/>
              <w:jc w:val="center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ZNNC_BT_balancing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482567E6" w14:textId="77777777" w:rsidR="00194C73" w:rsidRPr="00194C73" w:rsidRDefault="00194C73" w:rsidP="00194C73">
            <w:pPr>
              <w:spacing w:line="240" w:lineRule="auto"/>
              <w:jc w:val="center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ZNNC_BnB</w:t>
            </w:r>
            <w:proofErr w:type="spellEnd"/>
          </w:p>
        </w:tc>
      </w:tr>
      <w:tr w:rsidR="00C27549" w:rsidRPr="00194C73" w14:paraId="07B4DD8B" w14:textId="77777777" w:rsidTr="00C27549">
        <w:trPr>
          <w:trHeight w:val="24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1F53427E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82A95EB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C63069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13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3C1664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3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33EA0D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A6A19C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928994" w14:textId="3B1CDD29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0,001778</w:t>
            </w:r>
          </w:p>
        </w:tc>
      </w:tr>
      <w:tr w:rsidR="00C27549" w:rsidRPr="00194C73" w14:paraId="3C481837" w14:textId="77777777" w:rsidTr="00C27549">
        <w:trPr>
          <w:trHeight w:val="24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40A3CAC1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A61CDC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AE2075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29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1FD7A2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12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A0455C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91964A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0,883147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3F73BE" w14:textId="0E610581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0,031431</w:t>
            </w:r>
          </w:p>
        </w:tc>
      </w:tr>
      <w:tr w:rsidR="00C27549" w:rsidRPr="00194C73" w14:paraId="560EC0DC" w14:textId="77777777" w:rsidTr="00C27549">
        <w:trPr>
          <w:trHeight w:val="24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34D5C7CE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5EEACD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628075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100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E6D502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39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8672AA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9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E99B6F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0,688199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FCA339" w14:textId="11E6D731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-</w:t>
            </w:r>
            <w:r w:rsidR="00C27549">
              <w:rPr>
                <w:rFonts w:cs="Calibri"/>
                <w:i/>
                <w:iCs/>
                <w:color w:val="auto"/>
                <w:sz w:val="22"/>
                <w:szCs w:val="22"/>
              </w:rPr>
              <w:t>0</w:t>
            </w: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,03401</w:t>
            </w:r>
          </w:p>
        </w:tc>
      </w:tr>
      <w:tr w:rsidR="00C27549" w:rsidRPr="00194C73" w14:paraId="21FEBB75" w14:textId="77777777" w:rsidTr="00C27549">
        <w:trPr>
          <w:trHeight w:val="24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0F099B35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93E737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279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1A1435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176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85E609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120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D6A442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11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6872A2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0,561228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02AEF5" w14:textId="5FDA235A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-0,02361</w:t>
            </w:r>
          </w:p>
        </w:tc>
      </w:tr>
      <w:tr w:rsidR="00C27549" w:rsidRPr="00194C73" w14:paraId="758B54A6" w14:textId="77777777" w:rsidTr="00C27549">
        <w:trPr>
          <w:trHeight w:val="24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446A31CC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9054516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854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383F00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333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D5ACF3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363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58F131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14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29DC03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0,564897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EA38A1" w14:textId="24C3788C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0,034337</w:t>
            </w:r>
          </w:p>
        </w:tc>
      </w:tr>
      <w:tr w:rsidR="00C27549" w:rsidRPr="00194C73" w14:paraId="6A1501C9" w14:textId="77777777" w:rsidTr="00C27549">
        <w:trPr>
          <w:trHeight w:val="24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7D3B4E2D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330783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2544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B40D79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1067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75AF7A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1092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D9B0F6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17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66BED0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0,628446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B2E558" w14:textId="6AFA70BA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0,016429</w:t>
            </w:r>
          </w:p>
        </w:tc>
      </w:tr>
      <w:tr w:rsidR="00C27549" w:rsidRPr="00194C73" w14:paraId="6AAF209E" w14:textId="77777777" w:rsidTr="00C27549">
        <w:trPr>
          <w:trHeight w:val="24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42F279A9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322E4B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7645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26F4A5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1884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845275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3279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5C175D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19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F921D9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0,681738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948494" w14:textId="081A1092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0,011135</w:t>
            </w:r>
          </w:p>
        </w:tc>
      </w:tr>
      <w:tr w:rsidR="00C27549" w:rsidRPr="00194C73" w14:paraId="6B883908" w14:textId="77777777" w:rsidTr="00C27549">
        <w:trPr>
          <w:trHeight w:val="24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5B833B18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7EDE8F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22820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2D01CC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9818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AAAD87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9840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CFD349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20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E956B0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0,736648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AF5623" w14:textId="09EDEFED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0,021440</w:t>
            </w:r>
          </w:p>
        </w:tc>
      </w:tr>
      <w:tr w:rsidR="00C27549" w:rsidRPr="00194C73" w14:paraId="5338A140" w14:textId="77777777" w:rsidTr="00C27549">
        <w:trPr>
          <w:trHeight w:val="24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6400D5B6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r w:rsidRPr="00194C73">
              <w:rPr>
                <w:rFonts w:cs="Calibri"/>
                <w:b/>
                <w:bCs/>
                <w:color w:val="FFFFFF"/>
                <w:sz w:val="22"/>
                <w:szCs w:val="22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139BA2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68918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465AA2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22388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0FEF50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29523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5CB0A5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22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F18907" w14:textId="77777777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  <w:lang w:eastAsia="ja-JP"/>
              </w:rPr>
              <w:t>0,786325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229847" w14:textId="77BC3298" w:rsidR="00194C73" w:rsidRPr="00194C73" w:rsidRDefault="00194C73" w:rsidP="00194C73">
            <w:pPr>
              <w:spacing w:line="240" w:lineRule="auto"/>
              <w:jc w:val="right"/>
              <w:rPr>
                <w:rFonts w:cs="Calibri"/>
                <w:i/>
                <w:iCs/>
                <w:color w:val="auto"/>
                <w:sz w:val="22"/>
                <w:szCs w:val="22"/>
              </w:rPr>
            </w:pPr>
            <w:r w:rsidRPr="00194C73">
              <w:rPr>
                <w:rFonts w:cs="Calibri"/>
                <w:i/>
                <w:iCs/>
                <w:color w:val="auto"/>
                <w:sz w:val="22"/>
                <w:szCs w:val="22"/>
              </w:rPr>
              <w:t>0,020328</w:t>
            </w:r>
          </w:p>
        </w:tc>
      </w:tr>
    </w:tbl>
    <w:p w14:paraId="13D7719A" w14:textId="77777777" w:rsidR="00194C73" w:rsidRPr="0039289C" w:rsidRDefault="00194C73" w:rsidP="0039289C">
      <w:pPr>
        <w:rPr>
          <w:lang w:val="en-US"/>
        </w:rPr>
      </w:pPr>
    </w:p>
    <w:p w14:paraId="082EC6E7" w14:textId="5A91A8AA" w:rsidR="001F18EB" w:rsidRDefault="001F18EB" w:rsidP="001F18EB">
      <w:pPr>
        <w:pStyle w:val="TituloApartado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Activity 3 </w:t>
      </w:r>
    </w:p>
    <w:p w14:paraId="21D3EE76" w14:textId="0E394577" w:rsidR="001F18EB" w:rsidRPr="002D18AD" w:rsidRDefault="002D18AD" w:rsidP="002D18AD">
      <w:pPr>
        <w:rPr>
          <w:rStyle w:val="IntenseReference"/>
          <w:lang w:val="en-US"/>
        </w:rPr>
      </w:pPr>
      <w:r>
        <w:rPr>
          <w:rStyle w:val="IntenseReference"/>
          <w:lang w:val="en-US"/>
        </w:rPr>
        <w:t>Compare results, number of nodes, and times for backtracking and BnB implementations</w:t>
      </w:r>
    </w:p>
    <w:p w14:paraId="13E760A5" w14:textId="572A4351" w:rsidR="002D18AD" w:rsidRPr="002D18AD" w:rsidRDefault="00343D4D" w:rsidP="002D18AD">
      <w:pPr>
        <w:pStyle w:val="ListParagraph"/>
        <w:ind w:left="0"/>
        <w:rPr>
          <w:rStyle w:val="IntenseReference"/>
          <w:rFonts w:ascii="Times New Roman" w:hAnsi="Times New Roman"/>
          <w:b w:val="0"/>
          <w:bCs w:val="0"/>
          <w:smallCaps w:val="0"/>
          <w:color w:val="333333"/>
          <w:spacing w:val="0"/>
          <w:lang w:val="en-US"/>
        </w:rPr>
      </w:pPr>
      <w:r>
        <w:rPr>
          <w:rStyle w:val="IntenseReference"/>
          <w:rFonts w:ascii="Times New Roman" w:hAnsi="Times New Roman"/>
          <w:b w:val="0"/>
          <w:bCs w:val="0"/>
          <w:smallCaps w:val="0"/>
          <w:color w:val="333333"/>
          <w:spacing w:val="0"/>
          <w:lang w:val="en-US"/>
        </w:rPr>
        <w:t xml:space="preserve">We can see that we get a smaller ZNNC on the Branch </w:t>
      </w:r>
      <w:r w:rsidR="00194C73">
        <w:rPr>
          <w:rStyle w:val="IntenseReference"/>
          <w:rFonts w:ascii="Times New Roman" w:hAnsi="Times New Roman"/>
          <w:b w:val="0"/>
          <w:bCs w:val="0"/>
          <w:smallCaps w:val="0"/>
          <w:color w:val="333333"/>
          <w:spacing w:val="0"/>
          <w:lang w:val="en-US"/>
        </w:rPr>
        <w:t>and</w:t>
      </w:r>
      <w:r>
        <w:rPr>
          <w:rStyle w:val="IntenseReference"/>
          <w:rFonts w:ascii="Times New Roman" w:hAnsi="Times New Roman"/>
          <w:b w:val="0"/>
          <w:bCs w:val="0"/>
          <w:smallCaps w:val="0"/>
          <w:color w:val="333333"/>
          <w:spacing w:val="0"/>
          <w:lang w:val="en-US"/>
        </w:rPr>
        <w:t xml:space="preserve"> Bound one and that are bigger on the Backtracking with balancing. </w:t>
      </w:r>
      <w:r w:rsidR="00194C73">
        <w:rPr>
          <w:rStyle w:val="IntenseReference"/>
          <w:rFonts w:ascii="Times New Roman" w:hAnsi="Times New Roman"/>
          <w:b w:val="0"/>
          <w:bCs w:val="0"/>
          <w:smallCaps w:val="0"/>
          <w:color w:val="333333"/>
          <w:spacing w:val="0"/>
          <w:lang w:val="en-US"/>
        </w:rPr>
        <w:t>Talking about times the BnB have so much better times than the Backtracking approach and it is common as Backtracking have always the best solution but with a huge complexity.</w:t>
      </w:r>
    </w:p>
    <w:p w14:paraId="26EC29D7" w14:textId="3AECC7A5" w:rsidR="002D18AD" w:rsidRDefault="002D18AD" w:rsidP="002D18AD">
      <w:pPr>
        <w:pStyle w:val="TituloApartado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Activity </w:t>
      </w:r>
      <w:r>
        <w:rPr>
          <w:rFonts w:ascii="Times New Roman" w:hAnsi="Times New Roman"/>
          <w:lang w:val="en-US"/>
        </w:rPr>
        <w:t>4</w:t>
      </w:r>
      <w:r>
        <w:rPr>
          <w:rFonts w:ascii="Times New Roman" w:hAnsi="Times New Roman"/>
          <w:lang w:val="en-US"/>
        </w:rPr>
        <w:t xml:space="preserve"> </w:t>
      </w:r>
    </w:p>
    <w:p w14:paraId="49278DA1" w14:textId="2D4828A7" w:rsidR="002D18AD" w:rsidRPr="002D18AD" w:rsidRDefault="002D18AD" w:rsidP="002D18AD">
      <w:pPr>
        <w:rPr>
          <w:rStyle w:val="IntenseReference"/>
          <w:lang w:val="en-US"/>
        </w:rPr>
      </w:pPr>
      <w:r>
        <w:rPr>
          <w:rStyle w:val="IntenseReference"/>
          <w:lang w:val="en-US"/>
        </w:rPr>
        <w:t>Discuss about the efficiency of both techniques based on the results obtained. Which implementations takes longer times? Which implementation generates more nodes?</w:t>
      </w:r>
    </w:p>
    <w:p w14:paraId="1820370A" w14:textId="537730CA" w:rsidR="002D18AD" w:rsidRDefault="00343D4D" w:rsidP="002D18AD">
      <w:pPr>
        <w:pStyle w:val="ListParagraph"/>
        <w:ind w:left="0"/>
        <w:rPr>
          <w:rStyle w:val="IntenseReference"/>
          <w:rFonts w:ascii="Times New Roman" w:hAnsi="Times New Roman"/>
          <w:b w:val="0"/>
          <w:bCs w:val="0"/>
          <w:smallCaps w:val="0"/>
          <w:color w:val="333333"/>
          <w:spacing w:val="0"/>
          <w:lang w:val="en-US"/>
        </w:rPr>
      </w:pPr>
      <w:r>
        <w:rPr>
          <w:rStyle w:val="IntenseReference"/>
          <w:rFonts w:ascii="Times New Roman" w:hAnsi="Times New Roman"/>
          <w:b w:val="0"/>
          <w:bCs w:val="0"/>
          <w:smallCaps w:val="0"/>
          <w:color w:val="333333"/>
          <w:spacing w:val="0"/>
          <w:lang w:val="en-US"/>
        </w:rPr>
        <w:t xml:space="preserve">The BnB implementation takes less time </w:t>
      </w:r>
      <w:r w:rsidR="00194C73">
        <w:rPr>
          <w:rStyle w:val="IntenseReference"/>
          <w:rFonts w:ascii="Times New Roman" w:hAnsi="Times New Roman"/>
          <w:b w:val="0"/>
          <w:bCs w:val="0"/>
          <w:smallCaps w:val="0"/>
          <w:color w:val="333333"/>
          <w:spacing w:val="0"/>
          <w:lang w:val="en-US"/>
        </w:rPr>
        <w:t>than the Backtracking that is common considering that the Backtracking have a bad complexity. And, as we can know the Backtracking gives the best possible solution usually, but it has a bad complexity and a slow algorithm that we can see represented on the table having better result on the Backtracking but with less time on the Branch and Bound.</w:t>
      </w:r>
    </w:p>
    <w:p w14:paraId="29CAE6A0" w14:textId="6B3ED6C8" w:rsidR="00194C73" w:rsidRPr="002D18AD" w:rsidRDefault="00194C73" w:rsidP="002D18AD">
      <w:pPr>
        <w:pStyle w:val="ListParagraph"/>
        <w:ind w:left="0"/>
        <w:rPr>
          <w:rStyle w:val="IntenseReference"/>
          <w:rFonts w:ascii="Times New Roman" w:hAnsi="Times New Roman"/>
          <w:b w:val="0"/>
          <w:bCs w:val="0"/>
          <w:smallCaps w:val="0"/>
          <w:color w:val="333333"/>
          <w:spacing w:val="0"/>
          <w:lang w:val="en-US"/>
        </w:rPr>
      </w:pPr>
      <w:r>
        <w:rPr>
          <w:rStyle w:val="IntenseReference"/>
          <w:rFonts w:ascii="Times New Roman" w:hAnsi="Times New Roman"/>
          <w:b w:val="0"/>
          <w:bCs w:val="0"/>
          <w:smallCaps w:val="0"/>
          <w:color w:val="333333"/>
          <w:spacing w:val="0"/>
          <w:lang w:val="en-US"/>
        </w:rPr>
        <w:t>We have less nodes on the Branch and Bound approach because we are pruning more nodes than in the Backtracking one considering the heuristic we have implemented.</w:t>
      </w:r>
    </w:p>
    <w:sectPr w:rsidR="00194C73" w:rsidRPr="002D18AD" w:rsidSect="00C46E7D">
      <w:headerReference w:type="default" r:id="rId9"/>
      <w:footerReference w:type="default" r:id="rId10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099A1" w14:textId="77777777" w:rsidR="00351A04" w:rsidRDefault="00351A04" w:rsidP="00A665E4">
      <w:pPr>
        <w:spacing w:line="240" w:lineRule="auto"/>
      </w:pPr>
      <w:r>
        <w:separator/>
      </w:r>
    </w:p>
  </w:endnote>
  <w:endnote w:type="continuationSeparator" w:id="0">
    <w:p w14:paraId="2E749214" w14:textId="77777777" w:rsidR="00351A04" w:rsidRDefault="00351A04" w:rsidP="00A66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48AA" w14:textId="77777777" w:rsidR="0041334B" w:rsidRPr="004172DF" w:rsidRDefault="00EF4EBE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659264" behindDoc="1" locked="0" layoutInCell="1" allowOverlap="0" wp14:anchorId="135F8FBB" wp14:editId="5419A61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6659C" w14:textId="77777777" w:rsidR="0041334B" w:rsidRPr="001D0341" w:rsidRDefault="00EF4EBE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5F8FBB" id="Rectángulo 65" o:spid="_x0000_s1026" style="position:absolute;left:0;text-align:left;margin-left:11.25pt;margin-top:793.1pt;width:19.8pt;height:48.2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68F6659C" w14:textId="77777777" w:rsidR="0041334B" w:rsidRPr="001D0341" w:rsidRDefault="00EF4EBE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70694AD" wp14:editId="5282B180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58E1D7" w14:textId="77777777" w:rsidR="0041334B" w:rsidRPr="00525591" w:rsidRDefault="00EF4EBE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0694AD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0658E1D7" w14:textId="77777777" w:rsidR="0041334B" w:rsidRPr="00525591" w:rsidRDefault="00EF4EBE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41158CD5" w14:textId="77777777" w:rsidR="0041334B" w:rsidRPr="00656B43" w:rsidRDefault="00EF4EBE" w:rsidP="00B96994">
    <w:pPr>
      <w:pStyle w:val="PiedepginaSecciones"/>
      <w:rPr>
        <w:color w:val="777777"/>
      </w:rPr>
    </w:pPr>
    <w:r>
      <w:t xml:space="preserve"> Activities for Algorithmics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B2D3" w14:textId="77777777" w:rsidR="00351A04" w:rsidRDefault="00351A04" w:rsidP="00A665E4">
      <w:pPr>
        <w:spacing w:line="240" w:lineRule="auto"/>
      </w:pPr>
      <w:r>
        <w:separator/>
      </w:r>
    </w:p>
  </w:footnote>
  <w:footnote w:type="continuationSeparator" w:id="0">
    <w:p w14:paraId="69FFCB0F" w14:textId="77777777" w:rsidR="00351A04" w:rsidRDefault="00351A04" w:rsidP="00A665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406BB563" w14:textId="77777777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2038F6EA" w14:textId="77777777" w:rsidR="006A72ED" w:rsidRPr="00472B27" w:rsidRDefault="00EF4EBE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44652182" w14:textId="77777777" w:rsidR="006A72ED" w:rsidRPr="00472B27" w:rsidRDefault="00EF4EBE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76C36266" w14:textId="77777777" w:rsidR="006A72ED" w:rsidRPr="00472B27" w:rsidRDefault="00EF4EBE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40A2CBA8" w14:textId="77777777" w:rsidR="006A72ED" w:rsidRDefault="00EF4EBE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Number of session</w:t>
          </w:r>
        </w:p>
      </w:tc>
    </w:tr>
    <w:tr w:rsidR="006A72ED" w:rsidRPr="00472B27" w14:paraId="7968D2ED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F1A6A22" w14:textId="77777777" w:rsidR="006A72ED" w:rsidRDefault="00351A04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33668C05" w14:textId="77777777" w:rsidR="006A72ED" w:rsidRDefault="00EF4EBE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 277172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0016646D" w14:textId="77777777" w:rsidR="006A72ED" w:rsidRPr="00472B27" w:rsidRDefault="00351A04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76175D72" w14:textId="22BB50C1" w:rsidR="006A72ED" w:rsidRPr="00472B27" w:rsidRDefault="002D18AD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7</w:t>
          </w:r>
        </w:p>
      </w:tc>
    </w:tr>
    <w:tr w:rsidR="006A72ED" w:rsidRPr="00472B27" w14:paraId="5647949A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4570C6F5" w14:textId="77777777" w:rsidR="006A72ED" w:rsidRPr="00472B27" w:rsidRDefault="00351A04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128D7E65" w14:textId="77777777" w:rsidR="006A72ED" w:rsidRPr="00472B27" w:rsidRDefault="00EF4EBE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>
            <w:rPr>
              <w:sz w:val="22"/>
              <w:szCs w:val="22"/>
            </w:rPr>
            <w:t>Rico Iglesias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5936B6EA" w14:textId="77777777" w:rsidR="006A72ED" w:rsidRPr="00472B27" w:rsidRDefault="00351A04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23142120" w14:textId="77777777" w:rsidR="006A72ED" w:rsidRPr="00472B27" w:rsidRDefault="00351A04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2AF8677C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131CB8D5" w14:textId="77777777" w:rsidR="006A72ED" w:rsidRDefault="00351A04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4FEB7189" w14:textId="77777777" w:rsidR="006A72ED" w:rsidRPr="00472B27" w:rsidRDefault="00EF4EBE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 Mateo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166F6A6A" w14:textId="77777777" w:rsidR="006A72ED" w:rsidRDefault="00351A04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4B522F96" w14:textId="77777777" w:rsidR="006A72ED" w:rsidRDefault="00351A04" w:rsidP="00A90972">
          <w:pPr>
            <w:pStyle w:val="Header"/>
          </w:pPr>
        </w:p>
      </w:tc>
    </w:tr>
  </w:tbl>
  <w:p w14:paraId="16A6B94C" w14:textId="77777777" w:rsidR="00A90972" w:rsidRDefault="00351A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355"/>
    <w:multiLevelType w:val="hybridMultilevel"/>
    <w:tmpl w:val="11C88250"/>
    <w:lvl w:ilvl="0" w:tplc="E2B6F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20FE"/>
    <w:multiLevelType w:val="hybridMultilevel"/>
    <w:tmpl w:val="390ABA8A"/>
    <w:lvl w:ilvl="0" w:tplc="7A3CB93E">
      <w:start w:val="1"/>
      <w:numFmt w:val="decimal"/>
      <w:lvlText w:val="%1-"/>
      <w:lvlJc w:val="left"/>
      <w:pPr>
        <w:ind w:left="720" w:hanging="360"/>
      </w:pPr>
      <w:rPr>
        <w:rFonts w:ascii="Calibri-Bold" w:hAnsi="Calibri-Bold" w:hint="default"/>
        <w:b/>
        <w:color w:val="4A86E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42D4A"/>
    <w:multiLevelType w:val="hybridMultilevel"/>
    <w:tmpl w:val="41C4820A"/>
    <w:lvl w:ilvl="0" w:tplc="5B3A596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425FB1"/>
    <w:multiLevelType w:val="hybridMultilevel"/>
    <w:tmpl w:val="65DE7848"/>
    <w:lvl w:ilvl="0" w:tplc="54D60A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855C2"/>
    <w:multiLevelType w:val="hybridMultilevel"/>
    <w:tmpl w:val="B800651E"/>
    <w:lvl w:ilvl="0" w:tplc="6F28C4FE">
      <w:start w:val="1"/>
      <w:numFmt w:val="decimal"/>
      <w:lvlText w:val="%1-"/>
      <w:lvlJc w:val="left"/>
      <w:pPr>
        <w:ind w:left="720" w:hanging="360"/>
      </w:pPr>
      <w:rPr>
        <w:rFonts w:ascii="Calibri-Bold" w:hAnsi="Calibri-Bold" w:cs="Times New Roman" w:hint="default"/>
        <w:b/>
        <w:color w:val="4A86E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042292">
    <w:abstractNumId w:val="4"/>
  </w:num>
  <w:num w:numId="2" w16cid:durableId="1221021759">
    <w:abstractNumId w:val="1"/>
  </w:num>
  <w:num w:numId="3" w16cid:durableId="32267175">
    <w:abstractNumId w:val="0"/>
  </w:num>
  <w:num w:numId="4" w16cid:durableId="788864452">
    <w:abstractNumId w:val="3"/>
  </w:num>
  <w:num w:numId="5" w16cid:durableId="1465192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E4"/>
    <w:rsid w:val="00026D82"/>
    <w:rsid w:val="000A4220"/>
    <w:rsid w:val="00194C73"/>
    <w:rsid w:val="0019600D"/>
    <w:rsid w:val="001F18EB"/>
    <w:rsid w:val="002258A6"/>
    <w:rsid w:val="002378D4"/>
    <w:rsid w:val="002D18AD"/>
    <w:rsid w:val="00325CFF"/>
    <w:rsid w:val="00343D4D"/>
    <w:rsid w:val="00351A04"/>
    <w:rsid w:val="0039289C"/>
    <w:rsid w:val="003F3711"/>
    <w:rsid w:val="005B40EF"/>
    <w:rsid w:val="005D121D"/>
    <w:rsid w:val="006E712B"/>
    <w:rsid w:val="00A665E4"/>
    <w:rsid w:val="00AD2C9D"/>
    <w:rsid w:val="00B14732"/>
    <w:rsid w:val="00B1754B"/>
    <w:rsid w:val="00B43744"/>
    <w:rsid w:val="00C27549"/>
    <w:rsid w:val="00D3000D"/>
    <w:rsid w:val="00E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65C5F"/>
  <w15:chartTrackingRefBased/>
  <w15:docId w15:val="{7BCAB908-8818-435F-BA7B-3EB67E5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8AD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A665E4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A665E4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A665E4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ListParagraph">
    <w:name w:val="List Paragraph"/>
    <w:basedOn w:val="Normal"/>
    <w:link w:val="ListParagraphChar"/>
    <w:uiPriority w:val="98"/>
    <w:qFormat/>
    <w:rsid w:val="00A665E4"/>
    <w:pPr>
      <w:ind w:left="720"/>
      <w:contextualSpacing/>
    </w:pPr>
  </w:style>
  <w:style w:type="paragraph" w:customStyle="1" w:styleId="TituloApartado1">
    <w:name w:val="Titulo Apartado 1"/>
    <w:basedOn w:val="Normal"/>
    <w:next w:val="Normal"/>
    <w:uiPriority w:val="6"/>
    <w:qFormat/>
    <w:rsid w:val="00A665E4"/>
    <w:pPr>
      <w:spacing w:before="360"/>
      <w:jc w:val="left"/>
      <w:outlineLvl w:val="1"/>
    </w:pPr>
    <w:rPr>
      <w:color w:val="0098CD"/>
      <w:sz w:val="40"/>
      <w:szCs w:val="40"/>
    </w:rPr>
  </w:style>
  <w:style w:type="paragraph" w:styleId="Header">
    <w:name w:val="header"/>
    <w:basedOn w:val="Normal"/>
    <w:link w:val="HeaderChar"/>
    <w:uiPriority w:val="99"/>
    <w:qFormat/>
    <w:rsid w:val="00A665E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E4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eNormal"/>
    <w:uiPriority w:val="99"/>
    <w:rsid w:val="00A665E4"/>
    <w:pPr>
      <w:spacing w:after="0" w:line="240" w:lineRule="auto"/>
    </w:pPr>
    <w:rPr>
      <w:rFonts w:ascii="UnitOT-Light" w:eastAsia="Times New Roman" w:hAnsi="UnitOT-Light"/>
      <w:color w:val="333333"/>
      <w:sz w:val="20"/>
      <w:lang w:eastAsia="en-US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A665E4"/>
    <w:pPr>
      <w:spacing w:line="240" w:lineRule="auto"/>
      <w:jc w:val="center"/>
    </w:pPr>
    <w:rPr>
      <w:rFonts w:cs="UnitOT-Medi"/>
      <w:b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A665E4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customStyle="1" w:styleId="fontstyle01">
    <w:name w:val="fontstyle01"/>
    <w:basedOn w:val="DefaultParagraphFont"/>
    <w:rsid w:val="00A665E4"/>
    <w:rPr>
      <w:rFonts w:ascii="Calibri-Bold" w:hAnsi="Calibri-Bold" w:hint="default"/>
      <w:b/>
      <w:bCs/>
      <w:i w:val="0"/>
      <w:iCs w:val="0"/>
      <w:color w:val="4A86E8"/>
      <w:sz w:val="24"/>
      <w:szCs w:val="24"/>
    </w:rPr>
  </w:style>
  <w:style w:type="character" w:customStyle="1" w:styleId="fontstyle21">
    <w:name w:val="fontstyle21"/>
    <w:basedOn w:val="DefaultParagraphFont"/>
    <w:rsid w:val="00A665E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65E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E4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1F18EB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D12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21D"/>
    <w:rPr>
      <w:rFonts w:ascii="Calibri" w:eastAsia="Times New Roman" w:hAnsi="Calibri" w:cs="Times New Roman"/>
      <w:i/>
      <w:iCs/>
      <w:color w:val="404040" w:themeColor="text1" w:themeTint="BF"/>
      <w:sz w:val="24"/>
      <w:szCs w:val="24"/>
      <w:lang w:eastAsia="es-ES"/>
    </w:rPr>
  </w:style>
  <w:style w:type="character" w:styleId="SubtleReference">
    <w:name w:val="Subtle Reference"/>
    <w:basedOn w:val="DefaultParagraphFont"/>
    <w:uiPriority w:val="31"/>
    <w:qFormat/>
    <w:rsid w:val="005D121D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0A422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A422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Rico Iglesias</dc:creator>
  <cp:keywords/>
  <dc:description/>
  <cp:lastModifiedBy>Mateo Rico Iglesias</cp:lastModifiedBy>
  <cp:revision>4</cp:revision>
  <dcterms:created xsi:type="dcterms:W3CDTF">2022-05-04T12:06:00Z</dcterms:created>
  <dcterms:modified xsi:type="dcterms:W3CDTF">2022-05-04T19:05:00Z</dcterms:modified>
</cp:coreProperties>
</file>