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E358" w14:textId="77777777" w:rsidR="00574E2A" w:rsidRDefault="00000000">
      <w:pPr>
        <w:pStyle w:val="Title"/>
      </w:pPr>
      <w:r>
        <w:t>CSAT Responsibilities – Master Overview (Regenerated)</w:t>
      </w:r>
    </w:p>
    <w:p w14:paraId="3AD590EB" w14:textId="77777777" w:rsidR="00574E2A" w:rsidRDefault="00000000">
      <w:r>
        <w:t>The Compliance &amp; Security Assurance Team (CSAT) provides governance, oversight, and assurance across compliance and security domains. This regenerated version presents a clear, structured view of CSAT’s core responsibilities with emphasis on Security Assurance Health as a broad measure of control effectiveness, which includes attestations as one component.</w:t>
      </w:r>
    </w:p>
    <w:p w14:paraId="2E255B11" w14:textId="77777777" w:rsidR="00574E2A" w:rsidRDefault="00000000">
      <w:pPr>
        <w:pStyle w:val="Heading1"/>
      </w:pPr>
      <w:r>
        <w:t>1. Compliance &amp; Audit Readiness</w:t>
      </w:r>
    </w:p>
    <w:p w14:paraId="6A2370E4" w14:textId="1E498982" w:rsidR="00574E2A" w:rsidRDefault="00000000">
      <w:r>
        <w:t>• Align policies and controls with PCI and other regulatory standards</w:t>
      </w:r>
    </w:p>
    <w:p w14:paraId="6CAED33C" w14:textId="77777777" w:rsidR="00574E2A" w:rsidRDefault="00000000">
      <w:r>
        <w:t>• Support audits by preparing evidence, coordinating with stakeholders, and closing findings</w:t>
      </w:r>
    </w:p>
    <w:p w14:paraId="09EAA108" w14:textId="77777777" w:rsidR="00574E2A" w:rsidRDefault="00000000">
      <w:r>
        <w:t>• Maintain continuous audit readiness with up-to-date documentation and control evidence</w:t>
      </w:r>
    </w:p>
    <w:p w14:paraId="093069AE" w14:textId="77777777" w:rsidR="00574E2A" w:rsidRDefault="00000000">
      <w:pPr>
        <w:pStyle w:val="Heading1"/>
      </w:pPr>
      <w:r>
        <w:t>2. Security Assurance Health</w:t>
      </w:r>
    </w:p>
    <w:p w14:paraId="2152ED6A" w14:textId="77777777" w:rsidR="00574E2A" w:rsidRDefault="00000000">
      <w:r>
        <w:t>• Broad measure of security control coverage and effectiveness across the enterprise</w:t>
      </w:r>
    </w:p>
    <w:p w14:paraId="056AADA4" w14:textId="77777777" w:rsidR="00574E2A" w:rsidRDefault="00000000">
      <w:r>
        <w:t>• Monitor and report on patching, SIEM, FIM, DR, anti-malware, and vulnerability scans</w:t>
      </w:r>
    </w:p>
    <w:p w14:paraId="68940D8B" w14:textId="77777777" w:rsidR="00574E2A" w:rsidRDefault="00000000">
      <w:r>
        <w:t>• Conduct attestations (e.g., quarterly access reviews, control validations in eGRC)</w:t>
      </w:r>
    </w:p>
    <w:p w14:paraId="12D88AB4" w14:textId="77777777" w:rsidR="00574E2A" w:rsidRDefault="00000000">
      <w:r>
        <w:t>• Track audit/security findings and ensure timely remediation</w:t>
      </w:r>
    </w:p>
    <w:p w14:paraId="184DE2E0" w14:textId="77777777" w:rsidR="00574E2A" w:rsidRDefault="00000000">
      <w:r>
        <w:t>• Provide leadership with visibility into recurring issues and risk posture trends</w:t>
      </w:r>
    </w:p>
    <w:p w14:paraId="7F0569C9" w14:textId="77777777" w:rsidR="00574E2A" w:rsidRDefault="00000000">
      <w:pPr>
        <w:pStyle w:val="Heading1"/>
      </w:pPr>
      <w:r>
        <w:t>3. Patch Oversight</w:t>
      </w:r>
    </w:p>
    <w:p w14:paraId="0DB84FFD" w14:textId="77777777" w:rsidR="00574E2A" w:rsidRDefault="00000000">
      <w:r>
        <w:t>• Deliver monthly patch compliance dashboards with ≥98% accuracy</w:t>
      </w:r>
    </w:p>
    <w:p w14:paraId="72E15C12" w14:textId="77777777" w:rsidR="00574E2A" w:rsidRDefault="00000000">
      <w:r>
        <w:t>• Review and approve/deny patch exceptions within 3 business days</w:t>
      </w:r>
    </w:p>
    <w:p w14:paraId="4A962376" w14:textId="77777777" w:rsidR="00574E2A" w:rsidRDefault="00000000">
      <w:r>
        <w:t>• Escalate overdue critical patches within 1 business day; notify leadership of exposures within 48 hours</w:t>
      </w:r>
    </w:p>
    <w:p w14:paraId="7CDB48B2" w14:textId="77777777" w:rsidR="00574E2A" w:rsidRDefault="00000000">
      <w:r>
        <w:t>• Provide patch-related audit evidence within 48 hours of request</w:t>
      </w:r>
    </w:p>
    <w:p w14:paraId="0380C4E9" w14:textId="77777777" w:rsidR="00574E2A" w:rsidRDefault="00000000">
      <w:r>
        <w:t>• Conduct quarterly patch health reviews with BUs and ensure timely responses to inquiries</w:t>
      </w:r>
    </w:p>
    <w:p w14:paraId="7E0ED603" w14:textId="77777777" w:rsidR="00574E2A" w:rsidRDefault="00000000">
      <w:pPr>
        <w:pStyle w:val="Heading1"/>
      </w:pPr>
      <w:r>
        <w:lastRenderedPageBreak/>
        <w:t>4. Partner Engagement</w:t>
      </w:r>
    </w:p>
    <w:p w14:paraId="1A353A36" w14:textId="77777777" w:rsidR="00574E2A" w:rsidRDefault="00000000">
      <w:r>
        <w:t>• Conduct quarterly BU check-ins for compliance and risk posture reviews</w:t>
      </w:r>
    </w:p>
    <w:p w14:paraId="0706ECAF" w14:textId="77777777" w:rsidR="00574E2A" w:rsidRDefault="00000000">
      <w:r>
        <w:t>• Deliver targeted training and awareness sessions (e.g., PCI scope, access reviews)</w:t>
      </w:r>
    </w:p>
    <w:p w14:paraId="2FB2987E" w14:textId="77777777" w:rsidR="00574E2A" w:rsidRDefault="00000000">
      <w:r>
        <w:t>• Collect partner feedback via surveys and retrospectives; recognize strong compliance performance</w:t>
      </w:r>
    </w:p>
    <w:p w14:paraId="7190E5F9" w14:textId="77777777" w:rsidR="00574E2A" w:rsidRDefault="00000000">
      <w:pPr>
        <w:pStyle w:val="Heading1"/>
      </w:pPr>
      <w:r>
        <w:t>5. Continuous Improvement</w:t>
      </w:r>
    </w:p>
    <w:p w14:paraId="5ED3773E" w14:textId="77777777" w:rsidR="00574E2A" w:rsidRDefault="00000000">
      <w:r>
        <w:t>• Automate manual workflows for compliance, patch oversight, and reporting where possible</w:t>
      </w:r>
    </w:p>
    <w:p w14:paraId="7192740A" w14:textId="77777777" w:rsidR="00574E2A" w:rsidRDefault="00000000">
      <w:r>
        <w:t>• Improve SLA compliance and partner experience through process optimization</w:t>
      </w:r>
    </w:p>
    <w:p w14:paraId="1A7AA0C4" w14:textId="77777777" w:rsidR="00574E2A" w:rsidRDefault="00000000">
      <w:r>
        <w:t>• Provide executives with dashboards and RAG indicators for rapid decision-making</w:t>
      </w:r>
    </w:p>
    <w:sectPr w:rsidR="00574E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545731">
    <w:abstractNumId w:val="8"/>
  </w:num>
  <w:num w:numId="2" w16cid:durableId="703336119">
    <w:abstractNumId w:val="6"/>
  </w:num>
  <w:num w:numId="3" w16cid:durableId="341012277">
    <w:abstractNumId w:val="5"/>
  </w:num>
  <w:num w:numId="4" w16cid:durableId="906455121">
    <w:abstractNumId w:val="4"/>
  </w:num>
  <w:num w:numId="5" w16cid:durableId="2024744941">
    <w:abstractNumId w:val="7"/>
  </w:num>
  <w:num w:numId="6" w16cid:durableId="625045551">
    <w:abstractNumId w:val="3"/>
  </w:num>
  <w:num w:numId="7" w16cid:durableId="1270163536">
    <w:abstractNumId w:val="2"/>
  </w:num>
  <w:num w:numId="8" w16cid:durableId="1024985873">
    <w:abstractNumId w:val="1"/>
  </w:num>
  <w:num w:numId="9" w16cid:durableId="44690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7E30"/>
    <w:rsid w:val="0029639D"/>
    <w:rsid w:val="00326F90"/>
    <w:rsid w:val="004C72D8"/>
    <w:rsid w:val="00574E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B0C81"/>
  <w14:defaultImageDpi w14:val="300"/>
  <w15:docId w15:val="{53DB9A23-A72F-41FC-A635-E74BE152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1823</Characters>
  <Application>Microsoft Office Word</Application>
  <DocSecurity>0</DocSecurity>
  <Lines>35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Venessa Jordan</dc:creator>
  <cp:keywords/>
  <dc:description>generated by python-docx</dc:description>
  <cp:lastModifiedBy>venessa Jordan</cp:lastModifiedBy>
  <cp:revision>2</cp:revision>
  <dcterms:created xsi:type="dcterms:W3CDTF">2025-08-25T23:44:00Z</dcterms:created>
  <dcterms:modified xsi:type="dcterms:W3CDTF">2025-08-25T23:44:00Z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fc4dd59d-5e1e-4c65-97f1-4c2d5d9291ef</vt:lpwstr>
  </property>
</Properties>
</file>