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2B51" w14:textId="406FE793" w:rsidR="00900F62" w:rsidRDefault="00797C19">
      <w:r w:rsidRPr="00797C19">
        <w:t>https://www.estadisticas.pr.gov/productos/delitos-tipo-i</w:t>
      </w:r>
    </w:p>
    <w:sectPr w:rsidR="00900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19"/>
    <w:rsid w:val="000B1065"/>
    <w:rsid w:val="00512D4A"/>
    <w:rsid w:val="00797C19"/>
    <w:rsid w:val="00900F62"/>
    <w:rsid w:val="00C7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B1CE0"/>
  <w15:chartTrackingRefBased/>
  <w15:docId w15:val="{B513BCAF-5E87-5441-9BF5-E55160AE4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56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Ruiz</dc:creator>
  <cp:keywords/>
  <dc:description/>
  <cp:lastModifiedBy>Andres Ruiz</cp:lastModifiedBy>
  <cp:revision>1</cp:revision>
  <dcterms:created xsi:type="dcterms:W3CDTF">2026-02-08T16:53:00Z</dcterms:created>
  <dcterms:modified xsi:type="dcterms:W3CDTF">2026-02-08T16:53:00Z</dcterms:modified>
</cp:coreProperties>
</file>