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u.s.-auto-body-repair-consolidation"/>
    <w:p>
      <w:pPr>
        <w:pStyle w:val="Heading1"/>
      </w:pPr>
      <w:r>
        <w:t xml:space="preserve">U.S. Auto Body Repair Consolidation</w:t>
      </w:r>
    </w:p>
    <w:bookmarkStart w:id="22" w:name="executive-summary"/>
    <w:p>
      <w:pPr>
        <w:pStyle w:val="Heading2"/>
      </w:pPr>
      <w:r>
        <w:t xml:space="preserve">Executive Summary</w:t>
      </w:r>
    </w:p>
    <w:p>
      <w:pPr>
        <w:pStyle w:val="FirstParagraph"/>
      </w:pPr>
      <w:r>
        <w:t xml:space="preserve">Public sources point to a market that is still consolidating, but in a more selective, capital-intensive phase. Share concentration kept rising even as H1 2025 shop acquisitions and openings slowed materially, Boyd still executed a $1.3 billion Joe Hudson’s transaction that closed in January 2026, and Focus Advisors counted 14 private-equity-backed consolidators active by year-end 2025. The core logic has not changed: scale helps win insurer relationships, absorb technician scarcity, and fund ADAS, calibration, and OEM-capability investments.</w:t>
      </w:r>
      <w:r>
        <w:t xml:space="preserve"> </w:t>
      </w:r>
      <w:hyperlink r:id="rId21">
        <w:r>
          <w:rPr>
            <w:rStyle w:val="Hyperlink"/>
          </w:rPr>
          <w:t xml:space="preserve">[1]</w:t>
        </w:r>
      </w:hyperlink>
    </w:p>
    <w:bookmarkEnd w:id="22"/>
    <w:bookmarkStart w:id="26" w:name="five-factual-claims"/>
    <w:p>
      <w:pPr>
        <w:pStyle w:val="Heading2"/>
      </w:pPr>
      <w:r>
        <w:t xml:space="preserve">Five factual claims</w:t>
      </w:r>
    </w:p>
    <w:p>
      <w:pPr>
        <w:numPr>
          <w:ilvl w:val="0"/>
          <w:numId w:val="1001"/>
        </w:numPr>
      </w:pPr>
      <w:r>
        <w:rPr>
          <w:b/>
          <w:bCs/>
        </w:rPr>
        <w:t xml:space="preserve">Concentration is meaningful and still rising.</w:t>
      </w:r>
      <w:r>
        <w:t xml:space="preserve"> </w:t>
      </w:r>
      <w:r>
        <w:t xml:space="preserve">Focus Advisors estimated that the “Big 5” consolidators operated at least</w:t>
      </w:r>
      <w:r>
        <w:t xml:space="preserve"> </w:t>
      </w:r>
      <w:r>
        <w:rPr>
          <w:b/>
          <w:bCs/>
        </w:rPr>
        <w:t xml:space="preserve">4,019 locations</w:t>
      </w:r>
      <w:r>
        <w:t xml:space="preserve">, representing</w:t>
      </w:r>
      <w:r>
        <w:t xml:space="preserve"> </w:t>
      </w:r>
      <w:r>
        <w:rPr>
          <w:b/>
          <w:bCs/>
        </w:rPr>
        <w:t xml:space="preserve">13.3% of U.S. shop share</w:t>
      </w:r>
      <w:r>
        <w:t xml:space="preserve"> </w:t>
      </w:r>
      <w:r>
        <w:t xml:space="preserve">and about</w:t>
      </w:r>
      <w:r>
        <w:t xml:space="preserve"> </w:t>
      </w:r>
      <w:r>
        <w:rPr>
          <w:b/>
          <w:bCs/>
        </w:rPr>
        <w:t xml:space="preserve">31.7% of U.S. revenue share</w:t>
      </w:r>
      <w:r>
        <w:t xml:space="preserve"> </w:t>
      </w:r>
      <w:r>
        <w:t xml:space="preserve">by H1 2025.</w:t>
      </w:r>
      <w:r>
        <w:t xml:space="preserve"> </w:t>
      </w:r>
      <w:hyperlink r:id="rId21">
        <w:r>
          <w:rPr>
            <w:rStyle w:val="Hyperlink"/>
          </w:rPr>
          <w:t xml:space="preserve">[2]</w:t>
        </w:r>
      </w:hyperlink>
    </w:p>
    <w:p>
      <w:pPr>
        <w:numPr>
          <w:ilvl w:val="0"/>
          <w:numId w:val="1001"/>
        </w:numPr>
      </w:pPr>
      <w:r>
        <w:rPr>
          <w:b/>
          <w:bCs/>
        </w:rPr>
        <w:t xml:space="preserve">The pace softened before re-accelerating.</w:t>
      </w:r>
      <w:r>
        <w:t xml:space="preserve"> </w:t>
      </w:r>
      <w:r>
        <w:t xml:space="preserve">Focus Advisors said shops</w:t>
      </w:r>
      <w:r>
        <w:t xml:space="preserve"> </w:t>
      </w:r>
      <w:r>
        <w:rPr>
          <w:b/>
          <w:bCs/>
        </w:rPr>
        <w:t xml:space="preserve">acquired or opened</w:t>
      </w:r>
      <w:r>
        <w:t xml:space="preserve"> </w:t>
      </w:r>
      <w:r>
        <w:t xml:space="preserve">by consolidators and market-leading MSOs in</w:t>
      </w:r>
      <w:r>
        <w:t xml:space="preserve"> </w:t>
      </w:r>
      <w:r>
        <w:rPr>
          <w:b/>
          <w:bCs/>
        </w:rPr>
        <w:t xml:space="preserve">H1 2025 fell 35% year over year</w:t>
      </w:r>
      <w:r>
        <w:t xml:space="preserve">, to</w:t>
      </w:r>
      <w:r>
        <w:t xml:space="preserve"> </w:t>
      </w:r>
      <w:r>
        <w:rPr>
          <w:b/>
          <w:bCs/>
        </w:rPr>
        <w:t xml:space="preserve">223</w:t>
      </w:r>
      <w:r>
        <w:t xml:space="preserve"> </w:t>
      </w:r>
      <w:r>
        <w:t xml:space="preserve">from</w:t>
      </w:r>
      <w:r>
        <w:t xml:space="preserve"> </w:t>
      </w:r>
      <w:r>
        <w:rPr>
          <w:b/>
          <w:bCs/>
        </w:rPr>
        <w:t xml:space="preserve">343</w:t>
      </w:r>
      <w:r>
        <w:t xml:space="preserve"> </w:t>
      </w:r>
      <w:r>
        <w:t xml:space="preserve">in H1 2024, even while concentration continued to increase.</w:t>
      </w:r>
      <w:r>
        <w:t xml:space="preserve"> </w:t>
      </w:r>
      <w:hyperlink r:id="rId21">
        <w:r>
          <w:rPr>
            <w:rStyle w:val="Hyperlink"/>
          </w:rPr>
          <w:t xml:space="preserve">[3]</w:t>
        </w:r>
      </w:hyperlink>
    </w:p>
    <w:p>
      <w:pPr>
        <w:numPr>
          <w:ilvl w:val="0"/>
          <w:numId w:val="1001"/>
        </w:numPr>
      </w:pPr>
      <w:r>
        <w:rPr>
          <w:b/>
          <w:bCs/>
        </w:rPr>
        <w:t xml:space="preserve">The biggest recent deal was regionally concentrated.</w:t>
      </w:r>
      <w:r>
        <w:t xml:space="preserve"> </w:t>
      </w:r>
      <w:r>
        <w:t xml:space="preserve">Boyd’s acquisition of Joe Hudson’s, closed on</w:t>
      </w:r>
      <w:r>
        <w:t xml:space="preserve"> </w:t>
      </w:r>
      <w:r>
        <w:rPr>
          <w:b/>
          <w:bCs/>
        </w:rPr>
        <w:t xml:space="preserve">January 9, 2026</w:t>
      </w:r>
      <w:r>
        <w:t xml:space="preserve">, added</w:t>
      </w:r>
      <w:r>
        <w:t xml:space="preserve"> </w:t>
      </w:r>
      <w:r>
        <w:rPr>
          <w:b/>
          <w:bCs/>
        </w:rPr>
        <w:t xml:space="preserve">258 locations across the U.S. Southeast</w:t>
      </w:r>
      <w:r>
        <w:t xml:space="preserve"> </w:t>
      </w:r>
      <w:r>
        <w:t xml:space="preserve">and lifted Boyd’s North American footprint</w:t>
      </w:r>
      <w:r>
        <w:t xml:space="preserve"> </w:t>
      </w:r>
      <w:r>
        <w:rPr>
          <w:b/>
          <w:bCs/>
        </w:rPr>
        <w:t xml:space="preserve">25% to 1,301</w:t>
      </w:r>
      <w:r>
        <w:t xml:space="preserve">.</w:t>
      </w:r>
      <w:r>
        <w:t xml:space="preserve"> </w:t>
      </w:r>
      <w:hyperlink r:id="rId23">
        <w:r>
          <w:rPr>
            <w:rStyle w:val="Hyperlink"/>
          </w:rPr>
          <w:t xml:space="preserve">[4]</w:t>
        </w:r>
      </w:hyperlink>
    </w:p>
    <w:p>
      <w:pPr>
        <w:numPr>
          <w:ilvl w:val="0"/>
          <w:numId w:val="1001"/>
        </w:numPr>
      </w:pPr>
      <w:r>
        <w:rPr>
          <w:b/>
          <w:bCs/>
        </w:rPr>
        <w:t xml:space="preserve">Valuations remain high for scaled assets, and financing is layered.</w:t>
      </w:r>
      <w:r>
        <w:t xml:space="preserve"> </w:t>
      </w:r>
      <w:r>
        <w:t xml:space="preserve">Boyd disclosed a</w:t>
      </w:r>
      <w:r>
        <w:t xml:space="preserve"> </w:t>
      </w:r>
      <w:r>
        <w:rPr>
          <w:b/>
          <w:bCs/>
        </w:rPr>
        <w:t xml:space="preserve">$1.3 billion</w:t>
      </w:r>
      <w:r>
        <w:t xml:space="preserve"> </w:t>
      </w:r>
      <w:r>
        <w:t xml:space="preserve">purchase price for Joe Hudson’s, equal to</w:t>
      </w:r>
      <w:r>
        <w:t xml:space="preserve"> </w:t>
      </w:r>
      <w:r>
        <w:rPr>
          <w:b/>
          <w:bCs/>
        </w:rPr>
        <w:t xml:space="preserve">13.3x adjusted EBITDA</w:t>
      </w:r>
      <w:r>
        <w:t xml:space="preserve"> </w:t>
      </w:r>
      <w:r>
        <w:t xml:space="preserve">before synergies and about</w:t>
      </w:r>
      <w:r>
        <w:t xml:space="preserve"> </w:t>
      </w:r>
      <w:r>
        <w:rPr>
          <w:b/>
          <w:bCs/>
        </w:rPr>
        <w:t xml:space="preserve">9.3x</w:t>
      </w:r>
      <w:r>
        <w:t xml:space="preserve"> </w:t>
      </w:r>
      <w:r>
        <w:t xml:space="preserve">after expected synergies; Boyd said financing would come from</w:t>
      </w:r>
      <w:r>
        <w:t xml:space="preserve"> </w:t>
      </w:r>
      <w:r>
        <w:rPr>
          <w:b/>
          <w:bCs/>
        </w:rPr>
        <w:t xml:space="preserve">committed bridge financing, revolver draws, equity financing, and new senior notes</w:t>
      </w:r>
      <w:r>
        <w:t xml:space="preserve">, and later closed a</w:t>
      </w:r>
      <w:r>
        <w:t xml:space="preserve"> </w:t>
      </w:r>
      <w:r>
        <w:rPr>
          <w:b/>
          <w:bCs/>
        </w:rPr>
        <w:t xml:space="preserve">$897 million</w:t>
      </w:r>
      <w:r>
        <w:t xml:space="preserve"> </w:t>
      </w:r>
      <w:r>
        <w:t xml:space="preserve">U.S./Canada equity offering to help fund the deal.</w:t>
      </w:r>
      <w:r>
        <w:t xml:space="preserve"> </w:t>
      </w:r>
      <w:hyperlink r:id="rId24">
        <w:r>
          <w:rPr>
            <w:rStyle w:val="Hyperlink"/>
          </w:rPr>
          <w:t xml:space="preserve">[5]</w:t>
        </w:r>
      </w:hyperlink>
    </w:p>
    <w:p>
      <w:pPr>
        <w:numPr>
          <w:ilvl w:val="0"/>
          <w:numId w:val="1001"/>
        </w:numPr>
      </w:pPr>
      <w:r>
        <w:rPr>
          <w:b/>
          <w:bCs/>
        </w:rPr>
        <w:t xml:space="preserve">Private equity is still the main fuel.</w:t>
      </w:r>
      <w:r>
        <w:t xml:space="preserve"> </w:t>
      </w:r>
      <w:r>
        <w:t xml:space="preserve">Focus Advisors reported that</w:t>
      </w:r>
      <w:r>
        <w:t xml:space="preserve"> </w:t>
      </w:r>
      <w:r>
        <w:rPr>
          <w:b/>
          <w:bCs/>
        </w:rPr>
        <w:t xml:space="preserve">three new PE firms entered collision repair in 2025</w:t>
      </w:r>
      <w:r>
        <w:t xml:space="preserve">, bringing the number of</w:t>
      </w:r>
      <w:r>
        <w:t xml:space="preserve"> </w:t>
      </w:r>
      <w:r>
        <w:rPr>
          <w:b/>
          <w:bCs/>
        </w:rPr>
        <w:t xml:space="preserve">PE-backed consolidators actively acquiring to 14</w:t>
      </w:r>
      <w:r>
        <w:t xml:space="preserve"> </w:t>
      </w:r>
      <w:r>
        <w:t xml:space="preserve">at year-end 2025.</w:t>
      </w:r>
      <w:r>
        <w:t xml:space="preserve"> </w:t>
      </w:r>
      <w:hyperlink r:id="rId25">
        <w:r>
          <w:rPr>
            <w:rStyle w:val="Hyperlink"/>
          </w:rPr>
          <w:t xml:space="preserve">[6]</w:t>
        </w:r>
      </w:hyperlink>
    </w:p>
    <w:bookmarkEnd w:id="26"/>
    <w:bookmarkStart w:id="31" w:name="trend-synthesis"/>
    <w:p>
      <w:pPr>
        <w:pStyle w:val="Heading2"/>
      </w:pPr>
      <w:r>
        <w:t xml:space="preserve">Trend synthesis</w:t>
      </w:r>
    </w:p>
    <w:p>
      <w:pPr>
        <w:pStyle w:val="FirstParagraph"/>
      </w:pPr>
      <w:r>
        <w:t xml:space="preserve">The overall pattern is continued consolidation, but under tighter operating conditions. Scale matters because insurers increasingly want broad regional or national repair solutions, while labor and technology demands keep rising. Gerber says it is a DRP partner for many major insurers, Crash says it is trusted by nearly all major insurers, TechForce’s 2026 report shows a</w:t>
      </w:r>
      <w:r>
        <w:t xml:space="preserve"> </w:t>
      </w:r>
      <w:r>
        <w:rPr>
          <w:b/>
          <w:bCs/>
        </w:rPr>
        <w:t xml:space="preserve">57% collision-tech supply gap</w:t>
      </w:r>
      <w:r>
        <w:t xml:space="preserve">, and Caliber says</w:t>
      </w:r>
      <w:r>
        <w:t xml:space="preserve"> </w:t>
      </w:r>
      <w:r>
        <w:rPr>
          <w:b/>
          <w:bCs/>
        </w:rPr>
        <w:t xml:space="preserve">65% of collision repairs required ADAS calibration by 2025 Q2</w:t>
      </w:r>
      <w:r>
        <w:t xml:space="preserve">. Those forces favor sponsor-backed MSOs that can keep buying, densifying, training, and investing in diagnostics and calibration capacity.</w:t>
      </w:r>
      <w:r>
        <w:t xml:space="preserve"> </w:t>
      </w:r>
      <w:hyperlink r:id="rId21">
        <w:r>
          <w:rPr>
            <w:rStyle w:val="Hyperlink"/>
          </w:rPr>
          <w:t xml:space="preserve">[7]</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551759"/>
                  <wp:effectExtent b="0" l="0" r="0" t="0"/>
                  <wp:docPr descr="Rendered Mermaid diagram 1" title="" id="28" name="Picture"/>
                  <a:graphic>
                    <a:graphicData uri="http://schemas.openxmlformats.org/drawingml/2006/picture">
                      <pic:pic>
                        <pic:nvPicPr>
                          <pic:cNvPr descr="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" id="29" name="Picture"/>
                          <pic:cNvPicPr>
                            <a:picLocks noChangeArrowheads="1" noChangeAspect="1"/>
                          </pic:cNvPicPr>
                        </pic:nvPicPr>
                        <pic:blipFill>
                          <a:blip r:embed="rId27"/>
                          <a:stretch>
                            <a:fillRect/>
                          </a:stretch>
                        </pic:blipFill>
                        <pic:spPr bwMode="auto">
                          <a:xfrm>
                            <a:off x="0" y="0"/>
                            <a:ext cx="5334000" cy="2551759"/>
                          </a:xfrm>
                          <a:prstGeom prst="rect">
                            <a:avLst/>
                          </a:prstGeom>
                          <a:noFill/>
                          <a:ln w="9525">
                            <a:noFill/>
                            <a:headEnd/>
                            <a:tailEnd/>
                          </a:ln>
                        </pic:spPr>
                      </pic:pic>
                    </a:graphicData>
                  </a:graphic>
                </wp:inline>
              </w:drawing>
            </w:r>
            <w:r>
              <w:br/>
            </w:r>
          </w:p>
        </w:tc>
      </w:tr>
    </w:tbl>
    <w:p>
      <w:pPr>
        <w:pStyle w:val="BodyText"/>
      </w:pPr>
      <w:r>
        <w:t xml:space="preserve">Timeline events are drawn from company history pages and official releases.</w:t>
      </w:r>
      <w:r>
        <w:t xml:space="preserve"> </w:t>
      </w:r>
      <w:hyperlink r:id="rId30">
        <w:r>
          <w:rPr>
            <w:rStyle w:val="Hyperlink"/>
          </w:rPr>
          <w:t xml:space="preserve">[8]</w:t>
        </w:r>
      </w:hyperlink>
    </w:p>
    <w:bookmarkEnd w:id="31"/>
    <w:bookmarkStart w:id="36" w:name="leading-consolidators"/>
    <w:p>
      <w:pPr>
        <w:pStyle w:val="Heading2"/>
      </w:pPr>
      <w:r>
        <w:t xml:space="preserve">Leading consolidators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Company</w:t>
            </w:r>
          </w:p>
        </w:tc>
        <w:tc>
          <w:tcPr/>
          <w:p>
            <w:pPr>
              <w:pStyle w:val="Compact"/>
              <w:jc w:val="right"/>
            </w:pPr>
            <w:r>
              <w:t xml:space="preserve">Est. U.S. locations</w:t>
            </w:r>
          </w:p>
        </w:tc>
        <w:tc>
          <w:tcPr/>
          <w:p>
            <w:pPr>
              <w:pStyle w:val="Compact"/>
              <w:jc w:val="right"/>
            </w:pPr>
            <w:r>
              <w:t xml:space="preserve">Year founded</w:t>
            </w:r>
          </w:p>
        </w:tc>
        <w:tc>
          <w:tcPr/>
          <w:p>
            <w:pPr>
              <w:pStyle w:val="Compact"/>
            </w:pPr>
            <w:r>
              <w:t xml:space="preserve">Notable recent acquisitions</w:t>
            </w:r>
          </w:p>
        </w:tc>
        <w:tc>
          <w:tcPr/>
          <w:p>
            <w:pPr>
              <w:pStyle w:val="Compact"/>
            </w:pPr>
            <w:r>
              <w:t xml:space="preserve">Ownership type</w:t>
            </w:r>
          </w:p>
        </w:tc>
      </w:tr>
      <w:tr>
        <w:tc>
          <w:tcPr/>
          <w:p>
            <w:pPr>
              <w:pStyle w:val="Compact"/>
            </w:pPr>
            <w:r>
              <w:t xml:space="preserve">Caliber</w:t>
            </w:r>
            <w:r>
              <w:t xml:space="preserve"> </w:t>
            </w:r>
            <w:hyperlink r:id="rId32">
              <w:r>
                <w:rPr>
                  <w:rStyle w:val="Hyperlink"/>
                </w:rPr>
                <w:t xml:space="preserve">[9]</w:t>
              </w:r>
            </w:hyperlink>
          </w:p>
        </w:tc>
        <w:tc>
          <w:tcPr/>
          <w:p>
            <w:pPr>
              <w:pStyle w:val="Compact"/>
              <w:jc w:val="right"/>
            </w:pPr>
            <w:r>
              <w:t xml:space="preserve">1,800+</w:t>
            </w:r>
          </w:p>
        </w:tc>
        <w:tc>
          <w:tcPr/>
          <w:p>
            <w:pPr>
              <w:pStyle w:val="Compact"/>
              <w:jc w:val="right"/>
            </w:pPr>
            <w:r>
              <w:t xml:space="preserve">1997</w:t>
            </w:r>
          </w:p>
        </w:tc>
        <w:tc>
          <w:tcPr/>
          <w:p>
            <w:pPr>
              <w:pStyle w:val="Compact"/>
            </w:pPr>
            <w:r>
              <w:t xml:space="preserve">Car Body Lab, 2025</w:t>
            </w:r>
          </w:p>
        </w:tc>
        <w:tc>
          <w:tcPr/>
          <w:p>
            <w:pPr>
              <w:pStyle w:val="Compact"/>
            </w:pPr>
            <w:r>
              <w:t xml:space="preserve">Private, H&amp;F-backed</w:t>
            </w:r>
          </w:p>
        </w:tc>
      </w:tr>
      <w:tr>
        <w:tc>
          <w:tcPr/>
          <w:p>
            <w:pPr>
              <w:pStyle w:val="Compact"/>
            </w:pPr>
            <w:r>
              <w:t xml:space="preserve">Gerber / Boyd</w:t>
            </w:r>
            <w:r>
              <w:t xml:space="preserve"> </w:t>
            </w:r>
            <w:hyperlink r:id="rId33">
              <w:r>
                <w:rPr>
                  <w:rStyle w:val="Hyperlink"/>
                </w:rPr>
                <w:t xml:space="preserve">[10]</w:t>
              </w:r>
            </w:hyperlink>
          </w:p>
        </w:tc>
        <w:tc>
          <w:tcPr/>
          <w:p>
            <w:pPr>
              <w:pStyle w:val="Compact"/>
              <w:jc w:val="right"/>
            </w:pPr>
            <w:r>
              <w:t xml:space="preserve">1,000+ U.S. Gerber sites</w:t>
            </w:r>
          </w:p>
        </w:tc>
        <w:tc>
          <w:tcPr/>
          <w:p>
            <w:pPr>
              <w:pStyle w:val="Compact"/>
              <w:jc w:val="right"/>
            </w:pPr>
            <w:r>
              <w:t xml:space="preserve">1937</w:t>
            </w:r>
          </w:p>
        </w:tc>
        <w:tc>
          <w:tcPr/>
          <w:p>
            <w:pPr>
              <w:pStyle w:val="Compact"/>
            </w:pPr>
            <w:r>
              <w:t xml:space="preserve">Joe Hudson’s, closed 2026</w:t>
            </w:r>
          </w:p>
        </w:tc>
        <w:tc>
          <w:tcPr/>
          <w:p>
            <w:pPr>
              <w:pStyle w:val="Compact"/>
            </w:pPr>
            <w:r>
              <w:t xml:space="preserve">Public, BGSI</w:t>
            </w:r>
          </w:p>
        </w:tc>
      </w:tr>
      <w:tr>
        <w:tc>
          <w:tcPr/>
          <w:p>
            <w:pPr>
              <w:pStyle w:val="Compact"/>
            </w:pPr>
            <w:r>
              <w:t xml:space="preserve">Crash Champions</w:t>
            </w:r>
            <w:r>
              <w:t xml:space="preserve"> </w:t>
            </w:r>
            <w:hyperlink r:id="rId34">
              <w:r>
                <w:rPr>
                  <w:rStyle w:val="Hyperlink"/>
                </w:rPr>
                <w:t xml:space="preserve">[11]</w:t>
              </w:r>
            </w:hyperlink>
          </w:p>
        </w:tc>
        <w:tc>
          <w:tcPr/>
          <w:p>
            <w:pPr>
              <w:pStyle w:val="Compact"/>
              <w:jc w:val="right"/>
            </w:pPr>
            <w:r>
              <w:t xml:space="preserve">650+</w:t>
            </w:r>
          </w:p>
        </w:tc>
        <w:tc>
          <w:tcPr/>
          <w:p>
            <w:pPr>
              <w:pStyle w:val="Compact"/>
              <w:jc w:val="right"/>
            </w:pPr>
            <w:r>
              <w:t xml:space="preserve">1999</w:t>
            </w:r>
          </w:p>
        </w:tc>
        <w:tc>
          <w:tcPr/>
          <w:p>
            <w:pPr>
              <w:pStyle w:val="Compact"/>
            </w:pPr>
            <w:r>
              <w:t xml:space="preserve">Service King, 2022; South Motors and Big Sky, 2024</w:t>
            </w:r>
          </w:p>
        </w:tc>
        <w:tc>
          <w:tcPr/>
          <w:p>
            <w:pPr>
              <w:pStyle w:val="Compact"/>
            </w:pPr>
            <w:r>
              <w:t xml:space="preserve">Private, founder-led and Clearlake-backed</w:t>
            </w:r>
          </w:p>
        </w:tc>
      </w:tr>
      <w:tr>
        <w:tc>
          <w:tcPr/>
          <w:p>
            <w:pPr>
              <w:pStyle w:val="Compact"/>
            </w:pPr>
            <w:r>
              <w:t xml:space="preserve">Classic Collision</w:t>
            </w:r>
            <w:r>
              <w:t xml:space="preserve"> </w:t>
            </w:r>
            <w:hyperlink r:id="rId35">
              <w:r>
                <w:rPr>
                  <w:rStyle w:val="Hyperlink"/>
                </w:rPr>
                <w:t xml:space="preserve">[12]</w:t>
              </w:r>
            </w:hyperlink>
          </w:p>
        </w:tc>
        <w:tc>
          <w:tcPr/>
          <w:p>
            <w:pPr>
              <w:pStyle w:val="Compact"/>
              <w:jc w:val="right"/>
            </w:pPr>
            <w:r>
              <w:t xml:space="preserve">353</w:t>
            </w:r>
          </w:p>
        </w:tc>
        <w:tc>
          <w:tcPr/>
          <w:p>
            <w:pPr>
              <w:pStyle w:val="Compact"/>
              <w:jc w:val="right"/>
            </w:pPr>
            <w:r>
              <w:t xml:space="preserve">1983</w:t>
            </w:r>
          </w:p>
        </w:tc>
        <w:tc>
          <w:tcPr/>
          <w:p>
            <w:pPr>
              <w:pStyle w:val="Compact"/>
            </w:pPr>
            <w:r>
              <w:t xml:space="preserve">Heat Collision, 2024; multiple 2025 add-ons</w:t>
            </w:r>
          </w:p>
        </w:tc>
        <w:tc>
          <w:tcPr/>
          <w:p>
            <w:pPr>
              <w:pStyle w:val="Compact"/>
            </w:pPr>
            <w:r>
              <w:t xml:space="preserve">Private, TPG-owned</w:t>
            </w:r>
          </w:p>
        </w:tc>
      </w:tr>
    </w:tbl>
    <w:bookmarkEnd w:id="36"/>
    <w:bookmarkStart w:id="38" w:name="evidence-gaps-and-assumptions"/>
    <w:p>
      <w:pPr>
        <w:pStyle w:val="Heading2"/>
      </w:pPr>
      <w:r>
        <w:t xml:space="preserve">Evidence gaps and assumptions</w:t>
      </w:r>
    </w:p>
    <w:p>
      <w:pPr>
        <w:pStyle w:val="FirstParagraph"/>
      </w:pPr>
      <w:r>
        <w:t xml:space="preserve">Public disclosure is uneven. Focus explicitly says its shop-count and acquisition statistics are</w:t>
      </w:r>
      <w:r>
        <w:t xml:space="preserve"> </w:t>
      </w:r>
      <w:r>
        <w:rPr>
          <w:b/>
          <w:bCs/>
        </w:rPr>
        <w:t xml:space="preserve">best estimates</w:t>
      </w:r>
      <w:r>
        <w:t xml:space="preserve"> </w:t>
      </w:r>
      <w:r>
        <w:t xml:space="preserve">built from public information plus proprietary inputs; operator site counts are often</w:t>
      </w:r>
      <w:r>
        <w:t xml:space="preserve"> </w:t>
      </w:r>
      <w:r>
        <w:rPr>
          <w:b/>
          <w:bCs/>
        </w:rPr>
        <w:t xml:space="preserve">rounded</w:t>
      </w:r>
      <w:r>
        <w:t xml:space="preserve"> </w:t>
      </w:r>
      <w:r>
        <w:t xml:space="preserve">and may mix collision, glass, mobile, or North America totals; and very few private-company deals disclose EBITDA and financing with Boyd/Joe Hudson’s-level detail. So the direction of travel is clear, but exact national shares and private-market multiples remain approximate outside major public-company disclosures.</w:t>
      </w:r>
      <w:r>
        <w:t xml:space="preserve"> </w:t>
      </w:r>
      <w:hyperlink r:id="rId25">
        <w:r>
          <w:rPr>
            <w:rStyle w:val="Hyperlink"/>
          </w:rPr>
          <w:t xml:space="preserve">[13]</w:t>
        </w:r>
      </w:hyperlink>
    </w:p>
    <w:p>
      <w:pPr>
        <w:pStyle w:val="Compact"/>
        <w:numPr>
          <w:ilvl w:val="0"/>
          <w:numId w:val="1002"/>
        </w:numPr>
      </w:pPr>
      <w:r>
        <w:t xml:space="preserve">“Top 4” means</w:t>
      </w:r>
      <w:r>
        <w:t xml:space="preserve"> </w:t>
      </w:r>
      <w:r>
        <w:rPr>
          <w:b/>
          <w:bCs/>
        </w:rPr>
        <w:t xml:space="preserve">Caliber, Boyd/Gerber, Crash Champions, and Classic Collision</w:t>
      </w:r>
      <w:r>
        <w:t xml:space="preserve">, excluding Joe Hudson’s because Boyd closed that acquisition on</w:t>
      </w:r>
      <w:r>
        <w:t xml:space="preserve"> </w:t>
      </w:r>
      <w:r>
        <w:rPr>
          <w:b/>
          <w:bCs/>
        </w:rPr>
        <w:t xml:space="preserve">January 9, 2026</w:t>
      </w:r>
      <w:r>
        <w:t xml:space="preserve">.</w:t>
      </w:r>
      <w:r>
        <w:t xml:space="preserve"> </w:t>
      </w:r>
      <w:hyperlink r:id="rId23">
        <w:r>
          <w:rPr>
            <w:rStyle w:val="Hyperlink"/>
          </w:rPr>
          <w:t xml:space="preserve">[4]</w:t>
        </w:r>
      </w:hyperlink>
    </w:p>
    <w:p>
      <w:pPr>
        <w:pStyle w:val="Compact"/>
        <w:numPr>
          <w:ilvl w:val="0"/>
          <w:numId w:val="1002"/>
        </w:numPr>
      </w:pPr>
      <w:r>
        <w:t xml:space="preserve">Location counts use the</w:t>
      </w:r>
      <w:r>
        <w:t xml:space="preserve"> </w:t>
      </w:r>
      <w:r>
        <w:rPr>
          <w:b/>
          <w:bCs/>
        </w:rPr>
        <w:t xml:space="preserve">latest public figures found</w:t>
      </w:r>
      <w:r>
        <w:t xml:space="preserve">; where companies say “over” or “more than,” the stated number is treated as a</w:t>
      </w:r>
      <w:r>
        <w:t xml:space="preserve"> </w:t>
      </w:r>
      <w:r>
        <w:rPr>
          <w:b/>
          <w:bCs/>
        </w:rPr>
        <w:t xml:space="preserve">lower bound</w:t>
      </w:r>
      <w:r>
        <w:t xml:space="preserve">.</w:t>
      </w:r>
      <w:r>
        <w:t xml:space="preserve"> </w:t>
      </w:r>
      <w:hyperlink r:id="rId37">
        <w:r>
          <w:rPr>
            <w:rStyle w:val="Hyperlink"/>
          </w:rPr>
          <w:t xml:space="preserve">[14]</w:t>
        </w:r>
      </w:hyperlink>
    </w:p>
    <w:p>
      <w:pPr>
        <w:pStyle w:val="Compact"/>
        <w:numPr>
          <w:ilvl w:val="0"/>
          <w:numId w:val="1002"/>
        </w:numPr>
      </w:pPr>
      <w:r>
        <w:t xml:space="preserve">Boyd’s</w:t>
      </w:r>
      <w:r>
        <w:t xml:space="preserve"> </w:t>
      </w:r>
      <w:r>
        <w:rPr>
          <w:b/>
          <w:bCs/>
        </w:rPr>
        <w:t xml:space="preserve">1,301</w:t>
      </w:r>
      <w:r>
        <w:t xml:space="preserve"> </w:t>
      </w:r>
      <w:r>
        <w:t xml:space="preserve">figure is</w:t>
      </w:r>
      <w:r>
        <w:t xml:space="preserve"> </w:t>
      </w:r>
      <w:r>
        <w:rPr>
          <w:b/>
          <w:bCs/>
        </w:rPr>
        <w:t xml:space="preserve">North America</w:t>
      </w:r>
      <w:r>
        <w:t xml:space="preserve">, so the comparison table uses Gerber’s</w:t>
      </w:r>
      <w:r>
        <w:t xml:space="preserve"> </w:t>
      </w:r>
      <w:r>
        <w:rPr>
          <w:b/>
          <w:bCs/>
        </w:rPr>
        <w:t xml:space="preserve">1,000+ U.S.</w:t>
      </w:r>
      <w:r>
        <w:t xml:space="preserve"> </w:t>
      </w:r>
      <w:r>
        <w:t xml:space="preserve">count for U.S. comparability.</w:t>
      </w:r>
      <w:r>
        <w:t xml:space="preserve"> </w:t>
      </w:r>
      <w:hyperlink r:id="rId33">
        <w:r>
          <w:rPr>
            <w:rStyle w:val="Hyperlink"/>
          </w:rPr>
          <w:t xml:space="preserve">[15]</w:t>
        </w:r>
      </w:hyperlink>
    </w:p>
    <w:bookmarkEnd w:id="38"/>
    <w:bookmarkEnd w:id="39"/>
    <w:bookmarkEnd w:id="40"/>
    <w:p>
      <w:r>
        <w:pict>
          <v:rect style="width:0;height:1.5pt" o:hralign="center" o:hrstd="t" o:hr="t"/>
        </w:pict>
      </w:r>
    </w:p>
    <w:bookmarkStart w:id="41"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[7]</w:t>
        </w:r>
      </w:hyperlink>
      <w:r>
        <w:t xml:space="preserve"> </w:t>
      </w:r>
      <w:r>
        <w:t xml:space="preserve">https://focusadvisors.com/2025/09/the-first-half-of-2025-year-in-review-consolidation-continues-despite-headwinds/</w:t>
      </w:r>
    </w:p>
    <w:p>
      <w:pPr>
        <w:pStyle w:val="BodyText"/>
      </w:pPr>
      <w:hyperlink r:id="rId21">
        <w:r>
          <w:rPr>
            <w:rStyle w:val="Hyperlink"/>
          </w:rPr>
          <w:t xml:space="preserve">https://focusadvisors.com/2025/09/the-first-half-of-2025-year-in-review-consolidation-continues-despite-headwinds/</w:t>
        </w:r>
      </w:hyperlink>
    </w:p>
    <w:p>
      <w:pPr>
        <w:pStyle w:val="BodyText"/>
      </w:pPr>
      <w:hyperlink r:id="rId23">
        <w:r>
          <w:rPr>
            <w:rStyle w:val="Hyperlink"/>
          </w:rPr>
          <w:t xml:space="preserve">[4]</w:t>
        </w:r>
      </w:hyperlink>
      <w:r>
        <w:t xml:space="preserve"> </w:t>
      </w:r>
      <w:r>
        <w:t xml:space="preserve">https://boydgroup.com/news/boyd-group-services-inc-news/2026/boyd-group-services-inc-completes-acquisition-of-joe-hudsons-collision-center/</w:t>
      </w:r>
    </w:p>
    <w:p>
      <w:pPr>
        <w:pStyle w:val="BodyText"/>
      </w:pPr>
      <w:hyperlink r:id="rId23">
        <w:r>
          <w:rPr>
            <w:rStyle w:val="Hyperlink"/>
          </w:rPr>
          <w:t xml:space="preserve">https://boydgroup.com/news/boyd-group-services-inc-news/2026/boyd-group-services-inc-completes-acquisition-of-joe-hudsons-collision-center/</w:t>
        </w:r>
      </w:hyperlink>
    </w:p>
    <w:p>
      <w:pPr>
        <w:pStyle w:val="BodyText"/>
      </w:pPr>
      <w:hyperlink r:id="rId24">
        <w:r>
          <w:rPr>
            <w:rStyle w:val="Hyperlink"/>
          </w:rPr>
          <w:t xml:space="preserve">[5]</w:t>
        </w:r>
      </w:hyperlink>
      <w:r>
        <w:t xml:space="preserve"> </w:t>
      </w:r>
      <w:r>
        <w:t xml:space="preserve">https://boydgroup.com/news/boyd-group-services-inc-news/2025/boyd-group-services-inc-to-acquire-joe-hudsons-collision-center-a-leading-player-in-the-u-s-southeast-collision-repair-industry/</w:t>
      </w:r>
    </w:p>
    <w:p>
      <w:pPr>
        <w:pStyle w:val="BodyText"/>
      </w:pPr>
      <w:hyperlink r:id="rId24">
        <w:r>
          <w:rPr>
            <w:rStyle w:val="Hyperlink"/>
          </w:rPr>
          <w:t xml:space="preserve">https://boydgroup.com/news/boyd-group-services-inc-news/2025/boyd-group-services-inc-to-acquire-joe-hudsons-collision-center-a-leading-player-in-the-u-s-southeast-collision-repair-industry/</w:t>
        </w:r>
      </w:hyperlink>
    </w:p>
    <w:p>
      <w:pPr>
        <w:pStyle w:val="BodyText"/>
      </w:pPr>
      <w:hyperlink r:id="rId25">
        <w:r>
          <w:rPr>
            <w:rStyle w:val="Hyperlink"/>
          </w:rPr>
          <w:t xml:space="preserve">[6]</w:t>
        </w:r>
      </w:hyperlink>
      <w:r>
        <w:t xml:space="preserve"> </w:t>
      </w:r>
      <w:hyperlink r:id="rId25">
        <w:r>
          <w:rPr>
            <w:rStyle w:val="Hyperlink"/>
          </w:rPr>
          <w:t xml:space="preserve">[13]</w:t>
        </w:r>
      </w:hyperlink>
      <w:r>
        <w:t xml:space="preserve"> </w:t>
      </w:r>
      <w:r>
        <w:t xml:space="preserve">https://focusadvisors.com/2026/02/year-in-review-2025-slowdown-and-then-a-blockbuster/</w:t>
      </w:r>
    </w:p>
    <w:p>
      <w:pPr>
        <w:pStyle w:val="BodyText"/>
      </w:pPr>
      <w:hyperlink r:id="rId25">
        <w:r>
          <w:rPr>
            <w:rStyle w:val="Hyperlink"/>
          </w:rPr>
          <w:t xml:space="preserve">https://focusadvisors.com/2026/02/year-in-review-2025-slowdown-and-then-a-blockbuster/</w:t>
        </w:r>
      </w:hyperlink>
    </w:p>
    <w:p>
      <w:pPr>
        <w:pStyle w:val="BodyText"/>
      </w:pPr>
      <w:hyperlink r:id="rId30">
        <w:r>
          <w:rPr>
            <w:rStyle w:val="Hyperlink"/>
          </w:rPr>
          <w:t xml:space="preserve">[8]</w:t>
        </w:r>
      </w:hyperlink>
      <w:r>
        <w:t xml:space="preserve"> </w:t>
      </w:r>
      <w:r>
        <w:t xml:space="preserve">https://crashchampions.com/about-us/our-history</w:t>
      </w:r>
    </w:p>
    <w:p>
      <w:pPr>
        <w:pStyle w:val="BodyText"/>
      </w:pPr>
      <w:hyperlink r:id="rId30">
        <w:r>
          <w:rPr>
            <w:rStyle w:val="Hyperlink"/>
          </w:rPr>
          <w:t xml:space="preserve">https://crashchampions.com/about-us/our-history</w:t>
        </w:r>
      </w:hyperlink>
    </w:p>
    <w:p>
      <w:pPr>
        <w:pStyle w:val="BodyText"/>
      </w:pPr>
      <w:hyperlink r:id="rId32">
        <w:r>
          <w:rPr>
            <w:rStyle w:val="Hyperlink"/>
          </w:rPr>
          <w:t xml:space="preserve">[9]</w:t>
        </w:r>
      </w:hyperlink>
      <w:r>
        <w:t xml:space="preserve"> </w:t>
      </w:r>
      <w:r>
        <w:t xml:space="preserve">https://www.caliber.com/newsroom/our-story</w:t>
      </w:r>
    </w:p>
    <w:p>
      <w:pPr>
        <w:pStyle w:val="BodyText"/>
      </w:pPr>
      <w:hyperlink r:id="rId32">
        <w:r>
          <w:rPr>
            <w:rStyle w:val="Hyperlink"/>
          </w:rPr>
          <w:t xml:space="preserve">https://www.caliber.com/newsroom/our-story</w:t>
        </w:r>
      </w:hyperlink>
    </w:p>
    <w:p>
      <w:pPr>
        <w:pStyle w:val="BodyText"/>
      </w:pPr>
      <w:hyperlink r:id="rId33">
        <w:r>
          <w:rPr>
            <w:rStyle w:val="Hyperlink"/>
          </w:rPr>
          <w:t xml:space="preserve">[10]</w:t>
        </w:r>
      </w:hyperlink>
      <w:r>
        <w:t xml:space="preserve"> </w:t>
      </w:r>
      <w:hyperlink r:id="rId33">
        <w:r>
          <w:rPr>
            <w:rStyle w:val="Hyperlink"/>
          </w:rPr>
          <w:t xml:space="preserve">[15]</w:t>
        </w:r>
      </w:hyperlink>
      <w:r>
        <w:t xml:space="preserve"> </w:t>
      </w:r>
      <w:r>
        <w:t xml:space="preserve">https://www.gerbercollision.com/locations</w:t>
      </w:r>
    </w:p>
    <w:p>
      <w:pPr>
        <w:pStyle w:val="BodyText"/>
      </w:pPr>
      <w:hyperlink r:id="rId33">
        <w:r>
          <w:rPr>
            <w:rStyle w:val="Hyperlink"/>
          </w:rPr>
          <w:t xml:space="preserve">https://www.gerbercollision.com/locations</w:t>
        </w:r>
      </w:hyperlink>
    </w:p>
    <w:p>
      <w:pPr>
        <w:pStyle w:val="BodyText"/>
      </w:pPr>
      <w:hyperlink r:id="rId34">
        <w:r>
          <w:rPr>
            <w:rStyle w:val="Hyperlink"/>
          </w:rPr>
          <w:t xml:space="preserve">[11]</w:t>
        </w:r>
      </w:hyperlink>
      <w:r>
        <w:t xml:space="preserve"> </w:t>
      </w:r>
      <w:r>
        <w:t xml:space="preserve">https://crashchampions.com/company/press/crash-champions-continues-strong-close-2024-finalizes-acquisitions-florida-and</w:t>
      </w:r>
    </w:p>
    <w:p>
      <w:pPr>
        <w:pStyle w:val="BodyText"/>
      </w:pPr>
      <w:hyperlink r:id="rId34">
        <w:r>
          <w:rPr>
            <w:rStyle w:val="Hyperlink"/>
          </w:rPr>
          <w:t xml:space="preserve">https://crashchampions.com/company/press/crash-champions-continues-strong-close-2024-finalizes-acquisitions-florida-and</w:t>
        </w:r>
      </w:hyperlink>
    </w:p>
    <w:p>
      <w:pPr>
        <w:pStyle w:val="BodyText"/>
      </w:pPr>
      <w:hyperlink r:id="rId35">
        <w:r>
          <w:rPr>
            <w:rStyle w:val="Hyperlink"/>
          </w:rPr>
          <w:t xml:space="preserve">[12]</w:t>
        </w:r>
      </w:hyperlink>
      <w:r>
        <w:t xml:space="preserve"> </w:t>
      </w:r>
      <w:r>
        <w:t xml:space="preserve">https://classiccollision.com/news/classic-collision-south-denton/</w:t>
      </w:r>
    </w:p>
    <w:p>
      <w:pPr>
        <w:pStyle w:val="BodyText"/>
      </w:pPr>
      <w:hyperlink r:id="rId35">
        <w:r>
          <w:rPr>
            <w:rStyle w:val="Hyperlink"/>
          </w:rPr>
          <w:t xml:space="preserve">https://classiccollision.com/news/classic-collision-south-denton/</w:t>
        </w:r>
      </w:hyperlink>
    </w:p>
    <w:p>
      <w:pPr>
        <w:pStyle w:val="BodyText"/>
      </w:pPr>
      <w:hyperlink r:id="rId37">
        <w:r>
          <w:rPr>
            <w:rStyle w:val="Hyperlink"/>
          </w:rPr>
          <w:t xml:space="preserve">[14]</w:t>
        </w:r>
      </w:hyperlink>
      <w:r>
        <w:t xml:space="preserve"> </w:t>
      </w:r>
      <w:r>
        <w:t xml:space="preserve">https://www.caliber.com/</w:t>
      </w:r>
    </w:p>
    <w:p>
      <w:pPr>
        <w:pStyle w:val="BodyText"/>
      </w:pPr>
      <w:hyperlink r:id="rId37">
        <w:r>
          <w:rPr>
            <w:rStyle w:val="Hyperlink"/>
          </w:rPr>
          <w:t xml:space="preserve">https://www.caliber.com/</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hyperlink" Id="rId24" Target="https://boydgroup.com/news/boyd-group-services-inc-news/2025/boyd-group-services-inc-to-acquire-joe-hudsons-collision-center-a-leading-player-in-the-u-s-southeast-collision-repair-industry/" TargetMode="External" /><Relationship Type="http://schemas.openxmlformats.org/officeDocument/2006/relationships/hyperlink" Id="rId23" Target="https://boydgroup.com/news/boyd-group-services-inc-news/2026/boyd-group-services-inc-completes-acquisition-of-joe-hudsons-collision-center/" TargetMode="External" /><Relationship Type="http://schemas.openxmlformats.org/officeDocument/2006/relationships/hyperlink" Id="rId35" Target="https://classiccollision.com/news/classic-collision-south-denton/" TargetMode="External" /><Relationship Type="http://schemas.openxmlformats.org/officeDocument/2006/relationships/hyperlink" Id="rId30" Target="https://crashchampions.com/about-us/our-history" TargetMode="External" /><Relationship Type="http://schemas.openxmlformats.org/officeDocument/2006/relationships/hyperlink" Id="rId34" Target="https://crashchampions.com/company/press/crash-champions-continues-strong-close-2024-finalizes-acquisitions-florida-and" TargetMode="External" /><Relationship Type="http://schemas.openxmlformats.org/officeDocument/2006/relationships/hyperlink" Id="rId21" Target="https://focusadvisors.com/2025/09/the-first-half-of-2025-year-in-review-consolidation-continues-despite-headwinds/" TargetMode="External" /><Relationship Type="http://schemas.openxmlformats.org/officeDocument/2006/relationships/hyperlink" Id="rId25" Target="https://focusadvisors.com/2026/02/year-in-review-2025-slowdown-and-then-a-blockbuster/" TargetMode="External" /><Relationship Type="http://schemas.openxmlformats.org/officeDocument/2006/relationships/hyperlink" Id="rId37" Target="https://www.caliber.com/" TargetMode="External" /><Relationship Type="http://schemas.openxmlformats.org/officeDocument/2006/relationships/hyperlink" Id="rId32" Target="https://www.caliber.com/newsroom/our-story" TargetMode="External" /><Relationship Type="http://schemas.openxmlformats.org/officeDocument/2006/relationships/hyperlink" Id="rId33" Target="https://www.gerbercollision.com/locations" TargetMode="External" /></Relationships>
</file>

<file path=word/_rels/footnotes.xml.rels><?xml version="1.0" encoding="UTF-8"?><Relationships xmlns="http://schemas.openxmlformats.org/package/2006/relationships"><Relationship Type="http://schemas.openxmlformats.org/officeDocument/2006/relationships/hyperlink" Id="rId24" Target="https://boydgroup.com/news/boyd-group-services-inc-news/2025/boyd-group-services-inc-to-acquire-joe-hudsons-collision-center-a-leading-player-in-the-u-s-southeast-collision-repair-industry/" TargetMode="External" /><Relationship Type="http://schemas.openxmlformats.org/officeDocument/2006/relationships/hyperlink" Id="rId23" Target="https://boydgroup.com/news/boyd-group-services-inc-news/2026/boyd-group-services-inc-completes-acquisition-of-joe-hudsons-collision-center/" TargetMode="External" /><Relationship Type="http://schemas.openxmlformats.org/officeDocument/2006/relationships/hyperlink" Id="rId35" Target="https://classiccollision.com/news/classic-collision-south-denton/" TargetMode="External" /><Relationship Type="http://schemas.openxmlformats.org/officeDocument/2006/relationships/hyperlink" Id="rId30" Target="https://crashchampions.com/about-us/our-history" TargetMode="External" /><Relationship Type="http://schemas.openxmlformats.org/officeDocument/2006/relationships/hyperlink" Id="rId34" Target="https://crashchampions.com/company/press/crash-champions-continues-strong-close-2024-finalizes-acquisitions-florida-and" TargetMode="External" /><Relationship Type="http://schemas.openxmlformats.org/officeDocument/2006/relationships/hyperlink" Id="rId21" Target="https://focusadvisors.com/2025/09/the-first-half-of-2025-year-in-review-consolidation-continues-despite-headwinds/" TargetMode="External" /><Relationship Type="http://schemas.openxmlformats.org/officeDocument/2006/relationships/hyperlink" Id="rId25" Target="https://focusadvisors.com/2026/02/year-in-review-2025-slowdown-and-then-a-blockbuster/" TargetMode="External" /><Relationship Type="http://schemas.openxmlformats.org/officeDocument/2006/relationships/hyperlink" Id="rId37" Target="https://www.caliber.com/" TargetMode="External" /><Relationship Type="http://schemas.openxmlformats.org/officeDocument/2006/relationships/hyperlink" Id="rId32" Target="https://www.caliber.com/newsroom/our-story" TargetMode="External" /><Relationship Type="http://schemas.openxmlformats.org/officeDocument/2006/relationships/hyperlink" Id="rId33" Target="https://www.gerbercollision.com/loc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2026-05-28T19:20:21Z</dcterms:created>
  <dcterms:modified xsi:type="dcterms:W3CDTF">2026-05-28T19:20:21Z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