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BF5B2D"/>
          <w:sz w:val="56"/>
          <w:szCs w:val="56"/>
        </w:rPr>
        <w:t xml:space="preserve">THE REVENUE QUESTION</w:t>
      </w:r>
    </w:p>
    <w:p>
      <w:pPr>
        <w:spacing w:after="40" w:before="120"/>
        <w:jc w:val="center"/>
      </w:pPr>
      <w:r>
        <w:rPr>
          <w:color w:val="1A1A1A"/>
          <w:sz w:val="30"/>
          <w:szCs w:val="30"/>
        </w:rPr>
        <w:t xml:space="preserve">A Complete Study Guide to Your Supernova Externship Analysis</w:t>
      </w:r>
    </w:p>
    <w:p>
      <w:pPr>
        <w:spacing w:after="360" w:before="40"/>
        <w:jc w:val="center"/>
      </w:pPr>
      <w:r>
        <w:rPr>
          <w:i/>
          <w:iCs/>
          <w:color w:val="6B5B52"/>
          <w:sz w:val="22"/>
          <w:szCs w:val="22"/>
        </w:rPr>
        <w:t xml:space="preserve">Insurance quote-funnel, premium, and underwriting analysis</w:t>
      </w:r>
    </w:p>
    <w:p>
      <w:pPr>
        <w:pBdr>
          <w:bottom w:val="single" w:color="F0B49A" w:sz="8" w:space="8"/>
        </w:pBdr>
        <w:jc w:val="center"/>
      </w:pPr>
      <w:r>
        <w:t xml:space="preserve"/>
      </w:r>
    </w:p>
    <w:p>
      <w:pPr>
        <w:spacing w:before="300"/>
        <w:jc w:val="center"/>
      </w:pPr>
      <w:r>
        <w:rPr>
          <w:b/>
          <w:bCs/>
          <w:sz w:val="24"/>
          <w:szCs w:val="24"/>
        </w:rPr>
        <w:t xml:space="preserve">Prepared for Veniamin Davydenko</w:t>
      </w:r>
    </w:p>
    <w:p>
      <w:pPr>
        <w:spacing w:before="60"/>
        <w:jc w:val="center"/>
      </w:pPr>
      <w:r>
        <w:rPr>
          <w:color w:val="6B5B52"/>
          <w:sz w:val="22"/>
          <w:szCs w:val="22"/>
        </w:rPr>
        <w:t xml:space="preserve">Supernova BIA Externship  ·  June 2026</w:t>
      </w:r>
    </w:p>
    <w:p>
      <w:r>
        <w:br w:type="page"/>
      </w:r>
    </w:p>
    <w:p>
      <w:pPr>
        <w:pStyle w:val="Heading1"/>
        <w:pBdr>
          <w:bottom w:val="single" w:color="F0B49A" w:sz="6" w:space="6"/>
        </w:pBdr>
      </w:pPr>
      <w:r>
        <w:t xml:space="preserve">How to use this guide</w:t>
      </w:r>
    </w:p>
    <w:p>
      <w:pPr>
        <w:spacing w:after="130" w:line="278"/>
      </w:pPr>
      <w:r>
        <w:t xml:space="preserve">This document is built so that you can answer almost any question someone might ask about your externship analysis — from your mentor Mike, from Emily, or from an interviewer. It walks from the </w:t>
      </w:r>
      <w:r>
        <w:rPr>
          <w:b/>
          <w:bCs/>
        </w:rPr>
        <w:t xml:space="preserve">business context</w:t>
      </w:r>
      <w:r>
        <w:t xml:space="preserve"> (what an insurance quote funnel even is), through the </w:t>
      </w:r>
      <w:r>
        <w:rPr>
          <w:b/>
          <w:bCs/>
        </w:rPr>
        <w:t xml:space="preserve">dataset</w:t>
      </w:r>
      <w:r>
        <w:t xml:space="preserve">, through </w:t>
      </w:r>
      <w:r>
        <w:rPr>
          <w:b/>
          <w:bCs/>
        </w:rPr>
        <w:t xml:space="preserve">all three topics you analyzed</w:t>
      </w:r>
      <w:r>
        <w:t xml:space="preserve"> with the exact numbers, into </w:t>
      </w:r>
      <w:r>
        <w:rPr>
          <w:b/>
          <w:bCs/>
        </w:rPr>
        <w:t xml:space="preserve">the storyline you chose</w:t>
      </w:r>
      <w:r>
        <w:t xml:space="preserve"> and the </w:t>
      </w:r>
      <w:r>
        <w:rPr>
          <w:b/>
          <w:bCs/>
        </w:rPr>
        <w:t xml:space="preserve">slide-by-slide reasoning</w:t>
      </w:r>
      <w:r>
        <w:t xml:space="preserve"> of your presentation, and finishes with the </w:t>
      </w:r>
      <w:r>
        <w:rPr>
          <w:b/>
          <w:bCs/>
        </w:rPr>
        <w:t xml:space="preserve">methodology</w:t>
      </w:r>
      <w:r>
        <w:t xml:space="preserve">, the </w:t>
      </w:r>
      <w:r>
        <w:rPr>
          <w:b/>
          <w:bCs/>
        </w:rPr>
        <w:t xml:space="preserve">honest caveats</w:t>
      </w:r>
      <w:r>
        <w:t xml:space="preserve">, and an </w:t>
      </w:r>
      <w:r>
        <w:rPr>
          <w:b/>
          <w:bCs/>
        </w:rPr>
        <w:t xml:space="preserve">anticipated Q&amp;A</w:t>
      </w:r>
      <w:r>
        <w:t xml:space="preserve">.</w:t>
      </w:r>
    </w:p>
    <w:p>
      <w:pPr>
        <w:spacing w:after="130" w:line="278"/>
      </w:pPr>
      <w:r>
        <w:t xml:space="preserve">If you only have a few minutes before a conversation, read the </w:t>
      </w:r>
      <w:r>
        <w:rPr>
          <w:b/>
          <w:bCs/>
        </w:rPr>
        <w:t xml:space="preserve">one-sentence story (Part 6.1)</w:t>
      </w:r>
      <w:r>
        <w:t xml:space="preserve">, the </w:t>
      </w:r>
      <w:r>
        <w:rPr>
          <w:b/>
          <w:bCs/>
        </w:rPr>
        <w:t xml:space="preserve">cohort chain (Part 8)</w:t>
      </w:r>
      <w:r>
        <w:t xml:space="preserve">, and the </w:t>
      </w:r>
      <w:r>
        <w:rPr>
          <w:b/>
          <w:bCs/>
        </w:rPr>
        <w:t xml:space="preserve">Key Numbers cheat sheet (Part 11)</w:t>
      </w:r>
      <w:r>
        <w:t xml:space="preserve">. Those three things carry most of the weight. Everything is cross-referenced so you can jump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4B4" w:sz="1"/>
              <w:left w:val="single" w:color="BF5B2D" w:sz="12"/>
              <w:bottom w:val="single" w:color="E2C4B4" w:sz="1"/>
              <w:right w:val="single" w:color="E2C4B4" w:sz="1"/>
            </w:tcBorders>
            <w:shd w:fill="F4F3F0" w:val="clear"/>
            <w:tcMar>
              <w:top w:type="dxa" w:w="110"/>
              <w:left w:type="dxa" w:w="160"/>
              <w:bottom w:type="dxa" w:w="110"/>
              <w:right w:type="dxa" w:w="140"/>
            </w:tcMar>
          </w:tcPr>
          <w:p>
            <w:pPr>
              <w:spacing w:line="276"/>
            </w:pPr>
            <w:r>
              <w:rPr>
                <w:b/>
                <w:bCs/>
              </w:rPr>
              <w:t xml:space="preserve">The single thing to remember: </w:t>
            </w:r>
            <w:r>
              <w:t xml:space="preserve">Supernova loses roughly </w:t>
            </w:r>
            <w:r>
              <w:rPr>
                <w:b/>
                <w:bCs/>
              </w:rPr>
              <w:t xml:space="preserve">one in three</w:t>
            </w:r>
            <w:r>
              <w:t xml:space="preserve"> applicants before they ever see a price, and the largest single leak is the </w:t>
            </w:r>
            <w:r>
              <w:rPr>
                <w:b/>
                <w:bCs/>
              </w:rPr>
              <w:t xml:space="preserve">Annual Revenue</w:t>
            </w:r>
            <w:r>
              <w:t xml:space="preserve"> question — a sensitive, money-related step asked far too early in the form.</w:t>
            </w:r>
          </w:p>
        </w:tc>
      </w:tr>
    </w:tbl>
    <w:p>
      <w:r>
        <w:br w:type="page"/>
      </w:r>
    </w:p>
    <w:p>
      <w:pPr>
        <w:pStyle w:val="Heading1"/>
        <w:pBdr>
          <w:bottom w:val="single" w:color="F0B49A" w:sz="6" w:space="6"/>
        </w:pBdr>
      </w:pPr>
      <w:r>
        <w:t xml:space="preserve">Contents</w:t>
      </w:r>
    </w:p>
    <w:p>
      <w:pPr>
        <w:spacing w:after="120" w:line="278"/>
      </w:pPr>
      <w:r>
        <w:rPr>
          <w:i/>
          <w:iCs/>
          <w:color w:val="6B5B52"/>
        </w:rPr>
        <w:t xml:space="preserve">If the list below looks empty in Word, right-click it and choose </w:t>
      </w:r>
      <w:r>
        <w:rPr>
          <w:b/>
          <w:bCs/>
          <w:i/>
          <w:iCs/>
          <w:color w:val="6B5B52"/>
        </w:rPr>
        <w:t xml:space="preserve">Update Field</w:t>
      </w:r>
      <w:r>
        <w:rPr>
          <w:i/>
          <w:iCs/>
          <w:color w:val="6B5B52"/>
        </w:rPr>
        <w:t xml:space="preserve"> to fill in the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0B49A" w:sz="6" w:space="6"/>
        </w:pBdr>
      </w:pPr>
      <w:r>
        <w:t xml:space="preserve">Part 1 — The business context: what you were actually analyzing</w:t>
      </w:r>
    </w:p>
    <w:p>
      <w:pPr>
        <w:pStyle w:val="Heading2"/>
      </w:pPr>
      <w:r>
        <w:t xml:space="preserve">1.1  Where Supernova sits in the insurance chain</w:t>
      </w:r>
    </w:p>
    <w:p>
      <w:pPr>
        <w:spacing w:after="130" w:line="278"/>
      </w:pPr>
      <w:r>
        <w:t xml:space="preserve">Commercial insurance is sold through a chain of parties. At the top is the </w:t>
      </w:r>
      <w:r>
        <w:rPr>
          <w:b/>
          <w:bCs/>
        </w:rPr>
        <w:t xml:space="preserve">carrier</w:t>
      </w:r>
      <w:r>
        <w:t xml:space="preserve"> — the insurer that holds the capital and ultimately takes on the risk. Carriers frequently delegate underwriting and distribution to a </w:t>
      </w:r>
      <w:r>
        <w:rPr>
          <w:b/>
          <w:bCs/>
        </w:rPr>
        <w:t xml:space="preserve">Managing General Underwriter (MGU)</w:t>
      </w:r>
      <w:r>
        <w:t xml:space="preserve"> or program administrator, which is authorized to quote, price, and bind policies on the carrier's paper within agreed rules. </w:t>
      </w:r>
      <w:r>
        <w:rPr>
          <w:b/>
          <w:bCs/>
        </w:rPr>
        <w:t xml:space="preserve">Brokers</w:t>
      </w:r>
      <w:r>
        <w:t xml:space="preserve"> (or agents) sit between that underwriting layer and the end customer — the </w:t>
      </w:r>
      <w:r>
        <w:rPr>
          <w:b/>
          <w:bCs/>
        </w:rPr>
        <w:t xml:space="preserve">insured</w:t>
      </w:r>
      <w:r>
        <w:t xml:space="preserve"> business that actually buys the coverage. Supernova behaves like the quoting-and-underwriting layer in this chain: it runs an online system that collects a business's details, applies underwriting rules, and returns a price. Your dataset is a snapshot of everything that flowed through that system.</w:t>
      </w:r>
    </w:p>
    <w:p>
      <w:pPr>
        <w:pStyle w:val="Heading2"/>
      </w:pPr>
      <w:r>
        <w:t xml:space="preserve">1.2  What a “quote” is, and the online funnel</w:t>
      </w:r>
    </w:p>
    <w:p>
      <w:pPr>
        <w:spacing w:after="130" w:line="278"/>
      </w:pPr>
      <w:r>
        <w:t xml:space="preserve">A </w:t>
      </w:r>
      <w:r>
        <w:rPr>
          <w:b/>
          <w:bCs/>
        </w:rPr>
        <w:t xml:space="preserve">quote</w:t>
      </w:r>
      <w:r>
        <w:t xml:space="preserve"> is a priced offer of insurance for one specific business. To produce one, Supernova's web form walks an applicant through a sequence of questions — a </w:t>
      </w:r>
      <w:r>
        <w:rPr>
          <w:b/>
          <w:bCs/>
        </w:rPr>
        <w:t xml:space="preserve">funnel</w:t>
      </w:r>
      <w:r>
        <w:t xml:space="preserve"> — gathering the facts underwriting needs. In this dataset the funnel has </w:t>
      </w:r>
      <w:r>
        <w:rPr>
          <w:b/>
          <w:bCs/>
        </w:rPr>
        <w:t xml:space="preserve">nine steps</w:t>
      </w:r>
      <w:r>
        <w:t xml:space="preserve"> before completion. If the applicant answers everything, the record reaches “complete quote.” If they leave partway, the record is stamped with the stage where they stopped. That single field, </w:t>
      </w:r>
      <w:r>
        <w:rPr>
          <w:rFonts w:ascii="Courier New" w:cs="Courier New" w:eastAsia="Courier New" w:hAnsi="Courier New"/>
        </w:rPr>
        <w:t xml:space="preserve">incomplete_stage</w:t>
      </w:r>
      <w:r>
        <w:t xml:space="preserve">, is the backbone of the entire funnel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tblHeader/>
        </w:trPr>
        <w:tc>
          <w:tcPr>
            <w:tcW w:type="dxa" w:w="9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jc w:val="center"/>
            </w:pPr>
            <w:r>
              <w:rPr>
                <w:b/>
                <w:bCs/>
                <w:sz w:val="20"/>
                <w:szCs w:val="20"/>
              </w:rPr>
              <w:t xml:space="preserve">Stage</w:t>
            </w:r>
          </w:p>
        </w:tc>
        <w:tc>
          <w:tcPr>
            <w:tcW w:type="dxa" w:w="33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Question asked</w:t>
            </w:r>
          </w:p>
        </w:tc>
        <w:tc>
          <w:tcPr>
            <w:tcW w:type="dxa" w:w="516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What it really probes</w:t>
            </w:r>
          </w:p>
        </w:tc>
      </w:tr>
      <w:tr>
        <w:tc>
          <w:tcPr>
            <w:tcW w:type="dxa" w:w="9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1</w:t>
            </w:r>
          </w:p>
        </w:tc>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Business location</w:t>
            </w:r>
          </w:p>
        </w:tc>
        <w:tc>
          <w:tcPr>
            <w:tcW w:type="dxa" w:w="5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Where the business is (address / province)</w:t>
            </w:r>
          </w:p>
        </w:tc>
      </w:tr>
      <w:tr>
        <w:tc>
          <w:tcPr>
            <w:tcW w:type="dxa" w:w="9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2</w:t>
            </w:r>
          </w:p>
        </w:tc>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Annual revenue</w:t>
            </w:r>
          </w:p>
        </w:tc>
        <w:tc>
          <w:tcPr>
            <w:tcW w:type="dxa" w:w="51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How much money the business makes — the first sensitive money question</w:t>
            </w:r>
          </w:p>
        </w:tc>
      </w:tr>
      <w:tr>
        <w:tc>
          <w:tcPr>
            <w:tcW w:type="dxa" w:w="9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3</w:t>
            </w:r>
          </w:p>
        </w:tc>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Business years</w:t>
            </w:r>
          </w:p>
        </w:tc>
        <w:tc>
          <w:tcPr>
            <w:tcW w:type="dxa" w:w="5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How long it has operated (startup vs established)</w:t>
            </w:r>
          </w:p>
        </w:tc>
      </w:tr>
      <w:tr>
        <w:tc>
          <w:tcPr>
            <w:tcW w:type="dxa" w:w="9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4</w:t>
            </w:r>
          </w:p>
        </w:tc>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Number of employees</w:t>
            </w:r>
          </w:p>
        </w:tc>
        <w:tc>
          <w:tcPr>
            <w:tcW w:type="dxa" w:w="51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Size of the business / payroll exposure</w:t>
            </w:r>
          </w:p>
        </w:tc>
      </w:tr>
      <w:tr>
        <w:tc>
          <w:tcPr>
            <w:tcW w:type="dxa" w:w="9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5</w:t>
            </w:r>
          </w:p>
        </w:tc>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Past claims</w:t>
            </w:r>
          </w:p>
        </w:tc>
        <w:tc>
          <w:tcPr>
            <w:tcW w:type="dxa" w:w="5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Loss history</w:t>
            </w:r>
          </w:p>
        </w:tc>
      </w:tr>
      <w:tr>
        <w:tc>
          <w:tcPr>
            <w:tcW w:type="dxa" w:w="9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6</w:t>
            </w:r>
          </w:p>
        </w:tc>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Contents coverage</w:t>
            </w:r>
          </w:p>
        </w:tc>
        <w:tc>
          <w:tcPr>
            <w:tcW w:type="dxa" w:w="51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Value of contents/stock to insure — a second sensitive disclosure</w:t>
            </w:r>
          </w:p>
        </w:tc>
      </w:tr>
      <w:tr>
        <w:tc>
          <w:tcPr>
            <w:tcW w:type="dxa" w:w="9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7</w:t>
            </w:r>
          </w:p>
        </w:tc>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Liability coverage</w:t>
            </w:r>
          </w:p>
        </w:tc>
        <w:tc>
          <w:tcPr>
            <w:tcW w:type="dxa" w:w="5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Liability limits the business wants</w:t>
            </w:r>
          </w:p>
        </w:tc>
      </w:tr>
      <w:tr>
        <w:tc>
          <w:tcPr>
            <w:tcW w:type="dxa" w:w="9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8</w:t>
            </w:r>
          </w:p>
        </w:tc>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Enter information</w:t>
            </w:r>
          </w:p>
        </w:tc>
        <w:tc>
          <w:tcPr>
            <w:tcW w:type="dxa" w:w="51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Final detailed information entry</w:t>
            </w:r>
          </w:p>
        </w:tc>
      </w:tr>
      <w:tr>
        <w:tc>
          <w:tcPr>
            <w:tcW w:type="dxa" w:w="9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9</w:t>
            </w:r>
          </w:p>
        </w:tc>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When to begin coverage</w:t>
            </w:r>
          </w:p>
        </w:tc>
        <w:tc>
          <w:tcPr>
            <w:tcW w:type="dxa" w:w="5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Desired policy start date — the very last step</w:t>
            </w:r>
          </w:p>
        </w:tc>
      </w:tr>
      <w:tr>
        <w:tc>
          <w:tcPr>
            <w:tcW w:type="dxa" w:w="9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w:t>
            </w:r>
          </w:p>
        </w:tc>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Complete quote</w:t>
            </w:r>
          </w:p>
        </w:tc>
        <w:tc>
          <w:tcPr>
            <w:tcW w:type="dxa" w:w="51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All questions answered; a price is produced</w:t>
            </w:r>
          </w:p>
        </w:tc>
      </w:tr>
    </w:tbl>
    <w:p>
      <w:pPr>
        <w:pStyle w:val="Heading2"/>
      </w:pPr>
      <w:r>
        <w:t xml:space="preserve">1.3  Premium, coverage lines, and the underwriting decision</w:t>
      </w:r>
    </w:p>
    <w:p>
      <w:pPr>
        <w:spacing w:after="130" w:line="278"/>
      </w:pPr>
      <w:r>
        <w:rPr>
          <w:b/>
          <w:bCs/>
        </w:rPr>
        <w:t xml:space="preserve">Premium</w:t>
      </w:r>
      <w:r>
        <w:t xml:space="preserve"> is the price of the policy — the revenue Supernova earns if the business buys. A commercial policy is assembled from several </w:t>
      </w:r>
      <w:r>
        <w:rPr>
          <w:b/>
          <w:bCs/>
        </w:rPr>
        <w:t xml:space="preserve">coverage lines</w:t>
      </w:r>
      <w:r>
        <w:t xml:space="preserve">, each priced separately and then summed into the </w:t>
      </w:r>
      <w:r>
        <w:rPr>
          <w:b/>
          <w:bCs/>
        </w:rPr>
        <w:t xml:space="preserve">Total Premium</w:t>
      </w:r>
      <w:r>
        <w:t xml:space="preserve">. The lines in this dataset are Crime, Earthquake, Equipment Breakdown (EBI), Building, Flood, Contents, On-Premises General Liability (GL), Products GL, and Business Interruption.</w:t>
      </w:r>
    </w:p>
    <w:p>
      <w:pPr>
        <w:spacing w:after="130" w:line="278"/>
      </w:pPr>
      <w:r>
        <w:t xml:space="preserve">Once a quote is complete, underwriting either </w:t>
      </w:r>
      <w:r>
        <w:rPr>
          <w:b/>
          <w:bCs/>
        </w:rPr>
        <w:t xml:space="preserve">accepts</w:t>
      </w:r>
      <w:r>
        <w:t xml:space="preserve"> it (the business may then bind and pay) or </w:t>
      </w:r>
      <w:r>
        <w:rPr>
          <w:b/>
          <w:bCs/>
        </w:rPr>
        <w:t xml:space="preserve">rejects</w:t>
      </w:r>
      <w:r>
        <w:t xml:space="preserve"> it (the risk is declined). Rejections are driven by hard signals — most often a revenue cap (Supernova does not write businesses with annual revenue at or above $2M), and also a poor fire-protection grade (a </w:t>
      </w:r>
      <w:r>
        <w:rPr>
          <w:b/>
          <w:bCs/>
        </w:rPr>
        <w:t xml:space="preserve">FUS grade</w:t>
      </w:r>
      <w:r>
        <w:t xml:space="preserve">), a triggered underwriting </w:t>
      </w:r>
      <w:r>
        <w:rPr>
          <w:b/>
          <w:bCs/>
        </w:rPr>
        <w:t xml:space="preserve">rule</w:t>
      </w:r>
      <w:r>
        <w:t xml:space="preserve">, or an </w:t>
      </w:r>
      <w:r>
        <w:rPr>
          <w:b/>
          <w:bCs/>
        </w:rPr>
        <w:t xml:space="preserve">alert</w:t>
      </w:r>
      <w:r>
        <w:t xml:space="preserve"> flag such as hazardous materials or heavy equipment. The </w:t>
      </w:r>
      <w:r>
        <w:rPr>
          <w:rFonts w:ascii="Courier New" w:cs="Courier New" w:eastAsia="Courier New" w:hAnsi="Courier New"/>
        </w:rPr>
        <w:t xml:space="preserve">rejection</w:t>
      </w:r>
      <w:r>
        <w:t xml:space="preserve"> field and the </w:t>
      </w:r>
      <w:r>
        <w:rPr>
          <w:rFonts w:ascii="Courier New" w:cs="Courier New" w:eastAsia="Courier New" w:hAnsi="Courier New"/>
        </w:rPr>
        <w:t xml:space="preserve">rejection_log</w:t>
      </w:r>
      <w:r>
        <w:t xml:space="preserve"> capture that decision and its reasons. To “</w:t>
      </w:r>
      <w:r>
        <w:rPr>
          <w:b/>
          <w:bCs/>
        </w:rPr>
        <w:t xml:space="preserve">bind</w:t>
      </w:r>
      <w:r>
        <w:t xml:space="preserve">” simply means to finalize the policy so coverage is in force.</w:t>
      </w:r>
    </w:p>
    <w:p>
      <w:pPr>
        <w:pStyle w:val="Heading2"/>
      </w:pPr>
      <w:r>
        <w:t xml:space="preserve">1.4  The three lenses of your analysis</w:t>
      </w:r>
    </w:p>
    <w:p>
      <w:pPr>
        <w:spacing w:after="130" w:line="278"/>
      </w:pPr>
      <w:r>
        <w:t xml:space="preserve">Your work examined the same population of quotes through three lenses, one per topic file:</w:t>
      </w:r>
    </w:p>
    <w:p>
      <w:pPr>
        <w:pStyle w:val="ListParagraph"/>
        <w:numPr>
          <w:ilvl w:val="0"/>
          <w:numId w:val="2"/>
        </w:numPr>
        <w:spacing w:after="70" w:line="274"/>
      </w:pPr>
      <w:r>
        <w:rPr>
          <w:b/>
          <w:bCs/>
        </w:rPr>
        <w:t xml:space="preserve">Topic 1 — Premium (the revenue lens): </w:t>
      </w:r>
      <w:r>
        <w:t xml:space="preserve">how much premium exists, where it concentrates, and what drives deal size.</w:t>
      </w:r>
    </w:p>
    <w:p>
      <w:pPr>
        <w:pStyle w:val="ListParagraph"/>
        <w:numPr>
          <w:ilvl w:val="0"/>
          <w:numId w:val="2"/>
        </w:numPr>
        <w:spacing w:after="70" w:line="274"/>
      </w:pPr>
      <w:r>
        <w:rPr>
          <w:b/>
          <w:bCs/>
        </w:rPr>
        <w:t xml:space="preserve">Topic 2 — Decline / Rejection (the underwriting lens): </w:t>
      </w:r>
      <w:r>
        <w:t xml:space="preserve">who gets rejected, and why.</w:t>
      </w:r>
    </w:p>
    <w:p>
      <w:pPr>
        <w:pStyle w:val="ListParagraph"/>
        <w:numPr>
          <w:ilvl w:val="0"/>
          <w:numId w:val="2"/>
        </w:numPr>
        <w:spacing w:after="70" w:line="274"/>
      </w:pPr>
      <w:r>
        <w:rPr>
          <w:b/>
          <w:bCs/>
        </w:rPr>
        <w:t xml:space="preserve">Topic 3 — Quote Journey / Funnel (the UX / conversion lens): </w:t>
      </w:r>
      <w:r>
        <w:t xml:space="preserve">where applicants drop off, and what that costs.</w:t>
      </w:r>
    </w:p>
    <w:p>
      <w:pPr>
        <w:spacing w:after="130" w:line="278"/>
      </w:pPr>
      <w:r>
        <w:t xml:space="preserve">Your final presentation is built on </w:t>
      </w:r>
      <w:r>
        <w:rPr>
          <w:b/>
          <w:bCs/>
        </w:rPr>
        <w:t xml:space="preserve">Topic 3</w:t>
      </w:r>
      <w:r>
        <w:t xml:space="preserve">, with supporting figures drawn from Topics 1 and 2.</w:t>
      </w:r>
    </w:p>
    <w:p>
      <w:r>
        <w:br w:type="page"/>
      </w:r>
    </w:p>
    <w:p>
      <w:pPr>
        <w:pStyle w:val="Heading1"/>
        <w:pBdr>
          <w:bottom w:val="single" w:color="F0B49A" w:sz="6" w:space="6"/>
        </w:pBdr>
      </w:pPr>
      <w:r>
        <w:t xml:space="preserve">Part 2 — The dataset</w:t>
      </w:r>
    </w:p>
    <w:p>
      <w:pPr>
        <w:pStyle w:val="Heading2"/>
      </w:pPr>
      <w:r>
        <w:t xml:space="preserve">2.1  The grain: one row = one quote attempt</w:t>
      </w:r>
    </w:p>
    <w:p>
      <w:pPr>
        <w:spacing w:after="130" w:line="278"/>
      </w:pPr>
      <w:r>
        <w:t xml:space="preserve">The dataset has </w:t>
      </w:r>
      <w:r>
        <w:rPr>
          <w:b/>
          <w:bCs/>
        </w:rPr>
        <w:t xml:space="preserve">9,817 rows</w:t>
      </w:r>
      <w:r>
        <w:t xml:space="preserve">. Each row is a single </w:t>
      </w:r>
      <w:r>
        <w:rPr>
          <w:b/>
          <w:bCs/>
        </w:rPr>
        <w:t xml:space="preserve">quote attempt</w:t>
      </w:r>
      <w:r>
        <w:t xml:space="preserve"> — one business's pass through the funnel, whether or not they finished. This “grain” matters enormously: when you compute a rate, you must be explicit about the </w:t>
      </w:r>
      <w:r>
        <w:rPr>
          <w:b/>
          <w:bCs/>
        </w:rPr>
        <w:t xml:space="preserve">denominator</w:t>
      </w:r>
      <w:r>
        <w:t xml:space="preserve">. All 9,817 attempts? Only the 6,578 that completed? Only the 5,492 that got an underwriting decision? Almost every subtle disagreement in this kind of analysis comes from quietly mixing those denominators — so name the denominator every time.</w:t>
      </w:r>
    </w:p>
    <w:p>
      <w:pPr>
        <w:pStyle w:val="Heading2"/>
      </w:pPr>
      <w:r>
        <w:t xml:space="preserve">2.2  The original fields (21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Column</w:t>
            </w:r>
          </w:p>
        </w:tc>
        <w:tc>
          <w:tcPr>
            <w:tcW w:type="dxa" w:w="626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What it holds</w:t>
            </w:r>
          </w:p>
        </w:tc>
      </w:tr>
      <w:tr>
        <w:tc>
          <w:tcPr>
            <w:tcW w:type="dxa" w:w="31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incomplete_stage</w:t>
            </w:r>
          </w:p>
        </w:tc>
        <w:tc>
          <w:tcPr>
            <w:tcW w:type="dxa" w:w="62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funnel stage where the applicant stopped, or “complete quote.” The funnel backbone.</w:t>
            </w:r>
          </w:p>
        </w:tc>
      </w:tr>
      <w:tr>
        <w:tc>
          <w:tcPr>
            <w:tcW w:type="dxa" w:w="31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source_app</w:t>
            </w:r>
          </w:p>
        </w:tc>
        <w:tc>
          <w:tcPr>
            <w:tcW w:type="dxa" w:w="62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channel/application the quote came through (RDC, SN, LR; ~929 blank).</w:t>
            </w:r>
          </w:p>
        </w:tc>
      </w:tr>
      <w:tr>
        <w:tc>
          <w:tcPr>
            <w:tcW w:type="dxa" w:w="31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insured_address_state</w:t>
            </w:r>
          </w:p>
        </w:tc>
        <w:tc>
          <w:tcPr>
            <w:tcW w:type="dxa" w:w="62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business's province. Ontario is ~90% of all rows.</w:t>
            </w:r>
          </w:p>
        </w:tc>
      </w:tr>
      <w:tr>
        <w:tc>
          <w:tcPr>
            <w:tcW w:type="dxa" w:w="31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insured_email</w:t>
            </w:r>
          </w:p>
        </w:tc>
        <w:tc>
          <w:tcPr>
            <w:tcW w:type="dxa" w:w="62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applicant's email, hashed — an anonymous ID, not a readable address or domain.</w:t>
            </w:r>
          </w:p>
        </w:tc>
      </w:tr>
      <w:tr>
        <w:tc>
          <w:tcPr>
            <w:tcW w:type="dxa" w:w="31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Industry Code</w:t>
            </w:r>
          </w:p>
        </w:tc>
        <w:tc>
          <w:tcPr>
            <w:tcW w:type="dxa" w:w="62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 numeric industry classifier.</w:t>
            </w:r>
          </w:p>
        </w:tc>
      </w:tr>
      <w:tr>
        <w:tc>
          <w:tcPr>
            <w:tcW w:type="dxa" w:w="31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Category</w:t>
            </w:r>
          </w:p>
        </w:tc>
        <w:tc>
          <w:tcPr>
            <w:tcW w:type="dxa" w:w="62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business-type grouping used for rating/underwriting (e.g., B&amp;P Services, Retail, C.E.&amp;I.).</w:t>
            </w:r>
          </w:p>
        </w:tc>
      </w:tr>
      <w:tr>
        <w:tc>
          <w:tcPr>
            <w:tcW w:type="dxa" w:w="31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Crime / Earthquake / EBI / Building / Flood / Contents / On-Prem GL / Products GL / Business Interruption Premium</w:t>
            </w:r>
          </w:p>
        </w:tc>
        <w:tc>
          <w:tcPr>
            <w:tcW w:type="dxa" w:w="62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nine individual coverage-line prices.</w:t>
            </w:r>
          </w:p>
        </w:tc>
      </w:tr>
      <w:tr>
        <w:tc>
          <w:tcPr>
            <w:tcW w:type="dxa" w:w="31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Total Premium</w:t>
            </w:r>
          </w:p>
        </w:tc>
        <w:tc>
          <w:tcPr>
            <w:tcW w:type="dxa" w:w="62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sum of the coverage lines — the headline revenue figure per quote.</w:t>
            </w:r>
          </w:p>
        </w:tc>
      </w:tr>
      <w:tr>
        <w:tc>
          <w:tcPr>
            <w:tcW w:type="dxa" w:w="31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rejection</w:t>
            </w:r>
          </w:p>
        </w:tc>
        <w:tc>
          <w:tcPr>
            <w:tcW w:type="dxa" w:w="62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underwriting decision: 1 = rejected, 0 = accepted, blank = no decision recorded.</w:t>
            </w:r>
          </w:p>
        </w:tc>
      </w:tr>
      <w:tr>
        <w:tc>
          <w:tcPr>
            <w:tcW w:type="dxa" w:w="31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rejection_log</w:t>
            </w:r>
          </w:p>
        </w:tc>
        <w:tc>
          <w:tcPr>
            <w:tcW w:type="dxa" w:w="62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machine-readable reasons behind a rejection (FUS grade, rule IDs, alerts).</w:t>
            </w:r>
          </w:p>
        </w:tc>
      </w:tr>
      <w:tr>
        <w:tc>
          <w:tcPr>
            <w:tcW w:type="dxa" w:w="31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google_place_id / google_map_link / bing_search_link</w:t>
            </w:r>
          </w:p>
        </w:tc>
        <w:tc>
          <w:tcPr>
            <w:tcW w:type="dxa" w:w="62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Address-verification artifacts — whether the business resolved to a real, mapped location.</w:t>
            </w:r>
          </w:p>
        </w:tc>
      </w:tr>
    </w:tbl>
    <w:p>
      <w:pPr>
        <w:pStyle w:val="Heading2"/>
      </w:pPr>
      <w:r>
        <w:t xml:space="preserve">2.3  The fields you engineered (in the “clean data” tab)</w:t>
      </w:r>
    </w:p>
    <w:p>
      <w:pPr>
        <w:spacing w:after="130" w:line="278"/>
      </w:pPr>
      <w:r>
        <w:t xml:space="preserve">To make the raw data analyzable, you derived a set of helper columns. This feature-engineering is a real part of the skill on display — most of it is parsing structured signals out of the free-text rejection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Engineered column</w:t>
            </w:r>
          </w:p>
        </w:tc>
        <w:tc>
          <w:tcPr>
            <w:tcW w:type="dxa" w:w="606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What you derived and why</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Extracted_FUS</w:t>
            </w:r>
          </w:p>
        </w:tc>
        <w:tc>
          <w:tcPr>
            <w:tcW w:type="dxa" w:w="60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FUS fire-protection grade parsed out of the rejection log.</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Extracted_Rule</w:t>
            </w:r>
          </w:p>
        </w:tc>
        <w:tc>
          <w:tcPr>
            <w:tcW w:type="dxa" w:w="60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underwriting Rule ID parsed out of the log.</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Has_Alert  /  UW Alerts</w:t>
            </w:r>
          </w:p>
        </w:tc>
        <w:tc>
          <w:tcPr>
            <w:tcW w:type="dxa" w:w="60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 flag and the text for alert messages (hazardous materials, cranes/heavy equipment, alcohol, etc.).</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Log_Empty</w:t>
            </w:r>
          </w:p>
        </w:tc>
        <w:tc>
          <w:tcPr>
            <w:tcW w:type="dxa" w:w="60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Whether a rejection had an empty reason log (a data-integrity check).</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Email_Domain</w:t>
            </w:r>
          </w:p>
        </w:tc>
        <w:tc>
          <w:tcPr>
            <w:tcW w:type="dxa" w:w="60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An attempted domain parse — empty in practice because emails are hashed (an honest dead end you documented).</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Has_PlaceID</w:t>
            </w:r>
          </w:p>
        </w:tc>
        <w:tc>
          <w:tcPr>
            <w:tcW w:type="dxa" w:w="60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Whether the row has a Google Place ID.</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IBC Code (log)</w:t>
            </w:r>
          </w:p>
        </w:tc>
        <w:tc>
          <w:tcPr>
            <w:tcW w:type="dxa" w:w="60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An IBC industry classification pulled from the log.</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Revenue Band</w:t>
            </w:r>
          </w:p>
        </w:tc>
        <w:tc>
          <w:tcPr>
            <w:tcW w:type="dxa" w:w="60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annual-revenue bucket for each quote.</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Email_Quote_Count / Email_Complete_Count / Email_Accept_Count</w:t>
            </w:r>
          </w:p>
        </w:tc>
        <w:tc>
          <w:tcPr>
            <w:tcW w:type="dxa" w:w="60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Per-email roll-ups so you can study repeat applicants (the same hashed email appearing more than once).</w:t>
            </w:r>
          </w:p>
        </w:tc>
      </w:tr>
    </w:tbl>
    <w:p>
      <w:pPr>
        <w:pStyle w:val="Heading2"/>
      </w:pPr>
      <w:r>
        <w:t xml:space="preserve">2.4  Data-quality notes to mention before anyone else does</w:t>
      </w:r>
    </w:p>
    <w:p>
      <w:pPr>
        <w:spacing w:after="130" w:line="278"/>
      </w:pPr>
      <w:r>
        <w:t xml:space="preserve">A confident analyst names the data's limits up front. Be ready with these:</w:t>
      </w:r>
    </w:p>
    <w:p>
      <w:pPr>
        <w:pStyle w:val="ListParagraph"/>
        <w:numPr>
          <w:ilvl w:val="0"/>
          <w:numId w:val="2"/>
        </w:numPr>
        <w:spacing w:after="70" w:line="274"/>
      </w:pPr>
      <w:r>
        <w:rPr>
          <w:b/>
          <w:bCs/>
        </w:rPr>
        <w:t xml:space="preserve">Hashed emails: </w:t>
      </w:r>
      <w:r>
        <w:t xml:space="preserve">you cannot analyze email domain (gmail vs corporate). Several starter questions are explicitly “cannot be measured” for this reason — that is a property of the data, not a gap in your work.</w:t>
      </w:r>
    </w:p>
    <w:p>
      <w:pPr>
        <w:pStyle w:val="ListParagraph"/>
        <w:numPr>
          <w:ilvl w:val="0"/>
          <w:numId w:val="2"/>
        </w:numPr>
        <w:spacing w:after="70" w:line="274"/>
      </w:pPr>
      <w:r>
        <w:rPr>
          <w:b/>
          <w:bCs/>
        </w:rPr>
        <w:t xml:space="preserve">Geographic concentration: </w:t>
      </w:r>
      <w:r>
        <w:t xml:space="preserve">Ontario is ~90% of rows (8,881 of 9,817). Other provinces have too few records — often fewer than 30 — to rate reliably, so province comparisons outside Ontario are not statistically meaningful.</w:t>
      </w:r>
    </w:p>
    <w:p>
      <w:pPr>
        <w:pStyle w:val="ListParagraph"/>
        <w:numPr>
          <w:ilvl w:val="0"/>
          <w:numId w:val="2"/>
        </w:numPr>
        <w:spacing w:after="70" w:line="274"/>
      </w:pPr>
      <w:r>
        <w:rPr>
          <w:b/>
          <w:bCs/>
        </w:rPr>
        <w:t xml:space="preserve">Missingness: </w:t>
      </w:r>
      <w:r>
        <w:t xml:space="preserve">about 1,211 rows have no Category, ~855 no province, ~929 no source app. Much of this clusters in the “zombie” cohort (completed quotes that never priced).</w:t>
      </w:r>
    </w:p>
    <w:p>
      <w:pPr>
        <w:pStyle w:val="ListParagraph"/>
        <w:numPr>
          <w:ilvl w:val="0"/>
          <w:numId w:val="2"/>
        </w:numPr>
        <w:spacing w:after="70" w:line="274"/>
      </w:pPr>
      <w:r>
        <w:rPr>
          <w:b/>
          <w:bCs/>
        </w:rPr>
        <w:t xml:space="preserve">Province spelling: </w:t>
      </w:r>
      <w:r>
        <w:t xml:space="preserve">“Québec” and “Quebec” appear as two separate values — a small hygiene issue worth a cleaning step.</w:t>
      </w:r>
    </w:p>
    <w:p>
      <w:pPr>
        <w:pStyle w:val="ListParagraph"/>
        <w:numPr>
          <w:ilvl w:val="0"/>
          <w:numId w:val="2"/>
        </w:numPr>
        <w:spacing w:after="70" w:line="274"/>
      </w:pPr>
      <w:r>
        <w:rPr>
          <w:b/>
          <w:bCs/>
        </w:rPr>
        <w:t xml:space="preserve">Synthetic data: </w:t>
      </w:r>
      <w:r>
        <w:t xml:space="preserve">this is a training/synthetic set, so some relationships are cleaner than real life (for example, every alert leads to a rejection). Treat the patterns as directional rather than gospel.</w:t>
      </w:r>
    </w:p>
    <w:p>
      <w:r>
        <w:br w:type="page"/>
      </w:r>
    </w:p>
    <w:p>
      <w:pPr>
        <w:pStyle w:val="Heading1"/>
        <w:pBdr>
          <w:bottom w:val="single" w:color="F0B49A" w:sz="6" w:space="6"/>
        </w:pBdr>
      </w:pPr>
      <w:r>
        <w:t xml:space="preserve">Part 3 — Topic 1: Premium (the revenue lens)</w:t>
      </w:r>
    </w:p>
    <w:p>
      <w:pPr>
        <w:spacing w:after="130" w:line="278"/>
      </w:pPr>
      <w:r>
        <w:t xml:space="preserve">Topic 1 answers a single question from many angles: </w:t>
      </w:r>
      <w:r>
        <w:rPr>
          <w:b/>
          <w:bCs/>
        </w:rPr>
        <w:t xml:space="preserve">how much money is in this book, and what drives it?</w:t>
      </w:r>
      <w:r>
        <w:t xml:space="preserve"> Forty starter questions (Q1–Q40) build up the picture. Here are the findings grouped by theme, with the exact figures.</w:t>
      </w:r>
    </w:p>
    <w:p>
      <w:pPr>
        <w:pStyle w:val="Heading2"/>
      </w:pPr>
      <w:r>
        <w:t xml:space="preserve">3.1  The size of the book</w:t>
      </w:r>
    </w:p>
    <w:p>
      <w:pPr>
        <w:pStyle w:val="ListParagraph"/>
        <w:numPr>
          <w:ilvl w:val="0"/>
          <w:numId w:val="2"/>
        </w:numPr>
        <w:spacing w:after="70" w:line="274"/>
      </w:pPr>
      <w:r>
        <w:rPr>
          <w:b/>
          <w:bCs/>
        </w:rPr>
        <w:t xml:space="preserve">Total premium across the dataset: $23,081,048 (~$23.08M). </w:t>
      </w:r>
      <w:r>
        <w:t xml:space="preserve">This is the revenue represented by every priced quote combined.</w:t>
      </w:r>
    </w:p>
    <w:p>
      <w:pPr>
        <w:pStyle w:val="ListParagraph"/>
        <w:numPr>
          <w:ilvl w:val="0"/>
          <w:numId w:val="2"/>
        </w:numPr>
        <w:spacing w:after="70" w:line="274"/>
      </w:pPr>
      <w:r>
        <w:rPr>
          <w:b/>
          <w:bCs/>
        </w:rPr>
        <w:t xml:space="preserve">Average premium per priced quote: $9,541.57; median $9,665.48. </w:t>
      </w:r>
      <w:r>
        <w:t xml:space="preserve">The mean and median sit close together, so pricing is fairly symmetric — it is not dragged around by a few giant accounts.</w:t>
      </w:r>
    </w:p>
    <w:p>
      <w:pPr>
        <w:pStyle w:val="ListParagraph"/>
        <w:numPr>
          <w:ilvl w:val="0"/>
          <w:numId w:val="2"/>
        </w:numPr>
        <w:spacing w:after="70" w:line="274"/>
      </w:pPr>
      <w:r>
        <w:rPr>
          <w:b/>
          <w:bCs/>
        </w:rPr>
        <w:t xml:space="preserve">Pricing floor $1,250; largest single quote $17,936.95; standard deviation $3,383. </w:t>
      </w:r>
      <w:r>
        <w:t xml:space="preserve">Most quotes fall in a fairly tight band around $9.5k.</w:t>
      </w:r>
    </w:p>
    <w:p>
      <w:pPr>
        <w:pStyle w:val="ListParagraph"/>
        <w:numPr>
          <w:ilvl w:val="0"/>
          <w:numId w:val="2"/>
        </w:numPr>
        <w:spacing w:after="70" w:line="274"/>
      </w:pPr>
      <w:r>
        <w:rPr>
          <w:b/>
          <w:bCs/>
        </w:rPr>
        <w:t xml:space="preserve">Only 2,419 of 9,817 rows carry a premium above $0. </w:t>
      </w:r>
      <w:r>
        <w:t xml:space="preserve">The other 7,398 are blank/unpriced (abandoned or never priced). So “average premium” is always taken over the 2,419 priced quotes — never over all 9,817.</w:t>
      </w:r>
    </w:p>
    <w:p>
      <w:pPr>
        <w:pStyle w:val="Heading2"/>
      </w:pPr>
      <w:r>
        <w:t xml:space="preserve">3.2  Where the premium comes from (segments)</w:t>
      </w:r>
    </w:p>
    <w:p>
      <w:pPr>
        <w:pStyle w:val="ListParagraph"/>
        <w:numPr>
          <w:ilvl w:val="0"/>
          <w:numId w:val="2"/>
        </w:numPr>
        <w:spacing w:after="70" w:line="274"/>
      </w:pPr>
      <w:r>
        <w:rPr>
          <w:b/>
          <w:bCs/>
        </w:rPr>
        <w:t xml:space="preserve">Biggest category by total premium: B&amp;P Services </w:t>
      </w:r>
      <w:r>
        <w:t xml:space="preserve">— the “cash cow” because it is the largest by volume (1,776 quotes) times a solid average price.</w:t>
      </w:r>
    </w:p>
    <w:p>
      <w:pPr>
        <w:pStyle w:val="ListParagraph"/>
        <w:numPr>
          <w:ilvl w:val="0"/>
          <w:numId w:val="2"/>
        </w:numPr>
        <w:spacing w:after="70" w:line="274"/>
      </w:pPr>
      <w:r>
        <w:rPr>
          <w:b/>
          <w:bCs/>
        </w:rPr>
        <w:t xml:space="preserve">Highest average premium: Warehousing (~$10,348); lowest: Farming (~$8,475). </w:t>
      </w:r>
      <w:r>
        <w:t xml:space="preserve">The spread across categories is small (~$1,900), so no single segment is dramatically more valuable per deal.</w:t>
      </w:r>
    </w:p>
    <w:p>
      <w:pPr>
        <w:pStyle w:val="ListParagraph"/>
        <w:numPr>
          <w:ilvl w:val="0"/>
          <w:numId w:val="2"/>
        </w:numPr>
        <w:spacing w:after="70" w:line="274"/>
      </w:pPr>
      <w:r>
        <w:rPr>
          <w:b/>
          <w:bCs/>
        </w:rPr>
        <w:t xml:space="preserve">Top 3 categories = ~49% of total revenue. </w:t>
      </w:r>
      <w:r>
        <w:t xml:space="preserve">Meaningful concentration, but not extreme.</w:t>
      </w:r>
    </w:p>
    <w:p>
      <w:pPr>
        <w:pStyle w:val="ListParagraph"/>
        <w:numPr>
          <w:ilvl w:val="0"/>
          <w:numId w:val="2"/>
        </w:numPr>
        <w:spacing w:after="70" w:line="274"/>
      </w:pPr>
      <w:r>
        <w:rPr>
          <w:b/>
          <w:bCs/>
        </w:rPr>
        <w:t xml:space="preserve">Retail total ~$3.81M; Construction (Industry Code 15xx) ~$0.72M.</w:t>
      </w:r>
    </w:p>
    <w:p>
      <w:pPr>
        <w:pStyle w:val="Heading2"/>
      </w:pPr>
      <w:r>
        <w:t xml:space="preserve">3.3  The coverage mix</w:t>
      </w:r>
    </w:p>
    <w:p>
      <w:pPr>
        <w:pStyle w:val="ListParagraph"/>
        <w:numPr>
          <w:ilvl w:val="0"/>
          <w:numId w:val="2"/>
        </w:numPr>
        <w:spacing w:after="70" w:line="274"/>
      </w:pPr>
      <w:r>
        <w:rPr>
          <w:b/>
          <w:bCs/>
        </w:rPr>
        <w:t xml:space="preserve">General Liability (On-Premises + Products GL) is a major line — ~$7.22M total. </w:t>
      </w:r>
      <w:r>
        <w:t xml:space="preserve">For contractors specifically, all premium sits in liability and none in property: in this data, contractors buy liability, not building cover.</w:t>
      </w:r>
    </w:p>
    <w:p>
      <w:pPr>
        <w:pStyle w:val="ListParagraph"/>
        <w:numPr>
          <w:ilvl w:val="0"/>
          <w:numId w:val="2"/>
        </w:numPr>
        <w:spacing w:after="70" w:line="274"/>
      </w:pPr>
      <w:r>
        <w:rPr>
          <w:b/>
          <w:bCs/>
        </w:rPr>
        <w:t xml:space="preserve">Building Premium is $0 across the entire dataset. </w:t>
      </w:r>
      <w:r>
        <w:t xml:space="preserve">This coverage simply is not priced here — which is why the “Building-to-Content ratio” is 0 and the coverage “missing most often” is Building.</w:t>
      </w:r>
    </w:p>
    <w:p>
      <w:pPr>
        <w:pStyle w:val="ListParagraph"/>
        <w:numPr>
          <w:ilvl w:val="0"/>
          <w:numId w:val="2"/>
        </w:numPr>
        <w:spacing w:after="70" w:line="274"/>
      </w:pPr>
      <w:r>
        <w:rPr>
          <w:b/>
          <w:bCs/>
        </w:rPr>
        <w:t xml:space="preserve">Content Premium averages ~$4,526. Flood is a small slice (~1.2% of revenue); </w:t>
      </w:r>
      <w:r>
        <w:t xml:space="preserve">only 48 priced quotes carry $0 flood, so flood is a common attachment (2,371 priced quotes include it). Equipment Breakdown (EBI) appears on all 2,419 priced quotes.</w:t>
      </w:r>
    </w:p>
    <w:p>
      <w:pPr>
        <w:pStyle w:val="ListParagraph"/>
        <w:numPr>
          <w:ilvl w:val="0"/>
          <w:numId w:val="2"/>
        </w:numPr>
        <w:spacing w:after="70" w:line="274"/>
      </w:pPr>
      <w:r>
        <w:rPr>
          <w:b/>
          <w:bCs/>
        </w:rPr>
        <w:t xml:space="preserve">Earthquake vs Flood premium are independent </w:t>
      </w:r>
      <w:r>
        <w:t xml:space="preserve">(correlation ~0.07) — a high earthquake premium does not predict a high flood premium.</w:t>
      </w:r>
    </w:p>
    <w:p>
      <w:pPr>
        <w:pStyle w:val="Heading2"/>
      </w:pPr>
      <w:r>
        <w:t xml:space="preserve">3.4  Distribution and concentration</w:t>
      </w:r>
    </w:p>
    <w:p>
      <w:pPr>
        <w:pStyle w:val="ListParagraph"/>
        <w:numPr>
          <w:ilvl w:val="0"/>
          <w:numId w:val="2"/>
        </w:numPr>
        <w:spacing w:after="70" w:line="274"/>
      </w:pPr>
      <w:r>
        <w:rPr>
          <w:b/>
          <w:bCs/>
        </w:rPr>
        <w:t xml:space="preserve">Top-10% premium cutoff: $13,928 </w:t>
      </w:r>
      <w:r>
        <w:t xml:space="preserve">— the threshold that defines a “large account.”</w:t>
      </w:r>
    </w:p>
    <w:p>
      <w:pPr>
        <w:pStyle w:val="ListParagraph"/>
        <w:numPr>
          <w:ilvl w:val="0"/>
          <w:numId w:val="2"/>
        </w:numPr>
        <w:spacing w:after="70" w:line="274"/>
      </w:pPr>
      <w:r>
        <w:rPr>
          <w:b/>
          <w:bCs/>
        </w:rPr>
        <w:t xml:space="preserve">~67% of quotes contribute ~80% of revenue. </w:t>
      </w:r>
      <w:r>
        <w:t xml:space="preserve">This is a relatively even distribution — not a steep 80/20 — which means revenue is not dangerously concentrated in a handful of accounts.</w:t>
      </w:r>
    </w:p>
    <w:p>
      <w:pPr>
        <w:pStyle w:val="Heading2"/>
      </w:pPr>
      <w:r>
        <w:t xml:space="preserve">3.5  Scenario / what-if analysis (this is where business thinking shows)</w:t>
      </w:r>
    </w:p>
    <w:p>
      <w:pPr>
        <w:pStyle w:val="ListParagraph"/>
        <w:numPr>
          <w:ilvl w:val="0"/>
          <w:numId w:val="2"/>
        </w:numPr>
        <w:spacing w:after="70" w:line="274"/>
      </w:pPr>
      <w:r>
        <w:rPr>
          <w:b/>
          <w:bCs/>
        </w:rPr>
        <w:t xml:space="preserve">+5% on GL rates → ~$361,160 in new revenue.</w:t>
      </w:r>
    </w:p>
    <w:p>
      <w:pPr>
        <w:pStyle w:val="ListParagraph"/>
        <w:numPr>
          <w:ilvl w:val="0"/>
          <w:numId w:val="2"/>
        </w:numPr>
        <w:spacing w:after="70" w:line="274"/>
      </w:pPr>
      <w:r>
        <w:rPr>
          <w:b/>
          <w:bCs/>
        </w:rPr>
        <w:t xml:space="preserve">Dropping Flood entirely → ~$276,355 of revenue lost.</w:t>
      </w:r>
    </w:p>
    <w:p>
      <w:pPr>
        <w:pStyle w:val="ListParagraph"/>
        <w:numPr>
          <w:ilvl w:val="0"/>
          <w:numId w:val="2"/>
        </w:numPr>
        <w:spacing w:after="70" w:line="274"/>
      </w:pPr>
      <w:r>
        <w:rPr>
          <w:b/>
          <w:bCs/>
        </w:rPr>
        <w:t xml:space="preserve">Revenue per risk (Total Premium ÷ all 9,817 quotes) = $2,351. </w:t>
      </w:r>
      <w:r>
        <w:t xml:space="preserve">This is the true yield per lead across the whole funnel. It folds in every unpriced quote, so it is far lower than the $9,541 per-priced-quote average — and it is the number a CEO actually cares about.</w:t>
      </w:r>
    </w:p>
    <w:p>
      <w:pPr>
        <w:pStyle w:val="ListParagraph"/>
        <w:numPr>
          <w:ilvl w:val="0"/>
          <w:numId w:val="2"/>
        </w:numPr>
        <w:spacing w:after="70" w:line="274"/>
      </w:pPr>
      <w:r>
        <w:rPr>
          <w:b/>
          <w:bCs/>
        </w:rPr>
        <w:t xml:space="preserve">Channel barely affects deal size: </w:t>
      </w:r>
      <w:r>
        <w:t xml:space="preserve">SN ~$9,763, LR ~$9,558, RDC ~$9,314 (within ~$450).</w:t>
      </w:r>
    </w:p>
    <w:p>
      <w:pPr>
        <w:pStyle w:val="Heading2"/>
      </w:pPr>
      <w:r>
        <w:t xml:space="preserve">3.6  The “golden metric” — the bridge to Topic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4B4" w:sz="1"/>
              <w:left w:val="single" w:color="BF5B2D" w:sz="12"/>
              <w:bottom w:val="single" w:color="E2C4B4" w:sz="1"/>
              <w:right w:val="single" w:color="E2C4B4" w:sz="1"/>
            </w:tcBorders>
            <w:shd w:fill="F4F3F0" w:val="clear"/>
            <w:tcMar>
              <w:top w:type="dxa" w:w="110"/>
              <w:left w:type="dxa" w:w="160"/>
              <w:bottom w:type="dxa" w:w="110"/>
              <w:right w:type="dxa" w:w="140"/>
            </w:tcMar>
          </w:tcPr>
          <w:p>
            <w:pPr>
              <w:spacing w:line="276"/>
            </w:pPr>
            <w:r>
              <w:rPr>
                <w:b/>
                <w:bCs/>
              </w:rPr>
              <w:t xml:space="preserve">Average premium of accepted vs rejected quotes: accepted ≈ $9,545, rejected = $0. </w:t>
            </w:r>
            <w:r>
              <w:t xml:space="preserve">Rejected quotes carry no premium by definition — they are declined before pricing. This is the hinge between revenue and underwriting: a rejection is not merely a UX event, it is $0 of revenue.</w:t>
            </w:r>
          </w:p>
        </w:tc>
      </w:tr>
    </w:tbl>
    <w:p>
      <w:r>
        <w:br w:type="page"/>
      </w:r>
    </w:p>
    <w:p>
      <w:pPr>
        <w:pStyle w:val="Heading1"/>
        <w:pBdr>
          <w:bottom w:val="single" w:color="F0B49A" w:sz="6" w:space="6"/>
        </w:pBdr>
      </w:pPr>
      <w:r>
        <w:t xml:space="preserve">Part 4 — Topic 2: Decline / Rejection (the underwriting lens)</w:t>
      </w:r>
    </w:p>
    <w:p>
      <w:pPr>
        <w:spacing w:after="130" w:line="278"/>
      </w:pPr>
      <w:r>
        <w:t xml:space="preserve">Topic 2 (Q41–Q80) asks </w:t>
      </w:r>
      <w:r>
        <w:rPr>
          <w:b/>
          <w:bCs/>
        </w:rPr>
        <w:t xml:space="preserve">who gets declined, and why.</w:t>
      </w:r>
      <w:r>
        <w:t xml:space="preserve"> The key move here is that you parsed the free-text rejection log into structured signals (FUS grade, rule IDs, alerts) so they could be counted.</w:t>
      </w:r>
    </w:p>
    <w:p>
      <w:pPr>
        <w:pStyle w:val="Heading2"/>
      </w:pPr>
      <w:r>
        <w:t xml:space="preserve">4.1  The headline rejection rate</w:t>
      </w:r>
    </w:p>
    <w:p>
      <w:pPr>
        <w:pStyle w:val="ListParagraph"/>
        <w:numPr>
          <w:ilvl w:val="0"/>
          <w:numId w:val="2"/>
        </w:numPr>
        <w:spacing w:after="70" w:line="274"/>
      </w:pPr>
      <w:r>
        <w:rPr>
          <w:b/>
          <w:bCs/>
        </w:rPr>
        <w:t xml:space="preserve">Among the 5,492 quotes that reached a decision, 2,767 were rejected and 2,725 accepted — a 50.4% rejection rate. </w:t>
      </w:r>
      <w:r>
        <w:t xml:space="preserve">So of the people who finish the form and get a decision, roughly half are declined.</w:t>
      </w:r>
    </w:p>
    <w:p>
      <w:pPr>
        <w:pStyle w:val="ListParagraph"/>
        <w:numPr>
          <w:ilvl w:val="0"/>
          <w:numId w:val="2"/>
        </w:numPr>
        <w:spacing w:after="70" w:line="274"/>
      </w:pPr>
      <w:r>
        <w:rPr>
          <w:b/>
          <w:bCs/>
        </w:rPr>
        <w:t xml:space="preserve">This rate is over decisioned quotes, not all 9,817. </w:t>
      </w:r>
      <w:r>
        <w:t xml:space="preserve">Abandoned quotes and never-decided “zombies” have a blank rejection field and are excluded from the denominator. “What % of complete quotes get rejected?” resolves to the same 50.4%.</w:t>
      </w:r>
    </w:p>
    <w:p>
      <w:pPr>
        <w:pStyle w:val="Heading2"/>
      </w:pPr>
      <w:r>
        <w:t xml:space="preserve">4.2  The biggest driver — the $2M revenue cap</w:t>
      </w:r>
    </w:p>
    <w:p>
      <w:pPr>
        <w:spacing w:after="130" w:line="278"/>
      </w:pPr>
      <w:r>
        <w:t xml:space="preserve">This is the finding that reframes the rejection story, and the one the deck and this guide originally under-played. </w:t>
      </w:r>
      <w:r>
        <w:rPr>
          <w:b/>
          <w:bCs/>
        </w:rPr>
        <w:t xml:space="preserve">Supernova declines any business with annual revenue at or above $2M</w:t>
      </w:r>
      <w:r>
        <w:t xml:space="preserve"> — and that single rule is the dominant reason quotes get rejected.</w:t>
      </w:r>
    </w:p>
    <w:p>
      <w:pPr>
        <w:pStyle w:val="ListParagraph"/>
        <w:numPr>
          <w:ilvl w:val="0"/>
          <w:numId w:val="2"/>
        </w:numPr>
        <w:spacing w:after="70" w:line="274"/>
      </w:pPr>
      <w:r>
        <w:rPr>
          <w:b/>
          <w:bCs/>
        </w:rPr>
        <w:t xml:space="preserve">2,293 rejections — 82.9% of all 2,767 — are revenue-cap declines. </w:t>
      </w:r>
      <w:r>
        <w:t xml:space="preserve">FUS grades and alerts together account for the rest; the cap is by far the largest-volume reason.</w:t>
      </w:r>
    </w:p>
    <w:p>
      <w:pPr>
        <w:pStyle w:val="ListParagraph"/>
        <w:numPr>
          <w:ilvl w:val="0"/>
          <w:numId w:val="2"/>
        </w:numPr>
        <w:spacing w:after="70" w:line="274"/>
      </w:pPr>
      <w:r>
        <w:rPr>
          <w:b/>
          <w:bCs/>
        </w:rPr>
        <w:t xml:space="preserve">Every revenue band at or above $2M is rejected 100% of the time. </w:t>
      </w:r>
      <w:r>
        <w:t xml:space="preserve">There is no partial effect — it is a hard cut-off.</w:t>
      </w:r>
    </w:p>
    <w:p>
      <w:pPr>
        <w:pStyle w:val="ListParagraph"/>
        <w:numPr>
          <w:ilvl w:val="0"/>
          <w:numId w:val="2"/>
        </w:numPr>
        <w:spacing w:after="70" w:line="274"/>
      </w:pPr>
      <w:r>
        <w:rPr>
          <w:b/>
          <w:bCs/>
        </w:rPr>
        <w:t xml:space="preserve">The cap fires silently, only at the very end. </w:t>
      </w:r>
      <w:r>
        <w:t xml:space="preserve">All 2,293 cap rejections are completed quotes; zero happen before completion. The applicant fills out the entire form and is told “no” only after finishing — about 35% of all completers, and 41.8% of quotes that get a decision.</w:t>
      </w:r>
    </w:p>
    <w:p>
      <w:pPr>
        <w:pStyle w:val="Heading2"/>
      </w:pPr>
      <w:r>
        <w:t xml:space="preserve">4.3  FUS grade — the cleanest binary decline</w:t>
      </w:r>
    </w:p>
    <w:p>
      <w:pPr>
        <w:spacing w:after="130" w:line="278"/>
      </w:pPr>
      <w:r>
        <w:t xml:space="preserve">A </w:t>
      </w:r>
      <w:r>
        <w:rPr>
          <w:b/>
          <w:bCs/>
        </w:rPr>
        <w:t xml:space="preserve">FUS grade</w:t>
      </w:r>
      <w:r>
        <w:t xml:space="preserve"> is a fire-protection rating of the building, where a higher number is worse (less protected). The most common grade in this data is the worst one, 10.</w:t>
      </w:r>
    </w:p>
    <w:p>
      <w:pPr>
        <w:pStyle w:val="ListParagraph"/>
        <w:numPr>
          <w:ilvl w:val="0"/>
          <w:numId w:val="2"/>
        </w:numPr>
        <w:spacing w:after="70" w:line="274"/>
      </w:pPr>
      <w:r>
        <w:rPr>
          <w:b/>
          <w:bCs/>
        </w:rPr>
        <w:t xml:space="preserve">743 quotes have FUS Grade 10 — and every one is rejected (0 accepted). </w:t>
      </w:r>
      <w:r>
        <w:t xml:space="preserve">It is effectively an automatic decline.</w:t>
      </w:r>
    </w:p>
    <w:p>
      <w:pPr>
        <w:pStyle w:val="ListParagraph"/>
        <w:numPr>
          <w:ilvl w:val="0"/>
          <w:numId w:val="2"/>
        </w:numPr>
        <w:spacing w:after="70" w:line="274"/>
      </w:pPr>
      <w:r>
        <w:rPr>
          <w:b/>
          <w:bCs/>
        </w:rPr>
        <w:t xml:space="preserve">No FUS Grade 1 (best) appears; 7,673 rows have no FUS grade. </w:t>
      </w:r>
      <w:r>
        <w:t xml:space="preserve">The grade only shows up when it drove a logged decision.</w:t>
      </w:r>
    </w:p>
    <w:p>
      <w:pPr>
        <w:pStyle w:val="ListParagraph"/>
        <w:numPr>
          <w:ilvl w:val="0"/>
          <w:numId w:val="2"/>
        </w:numPr>
        <w:spacing w:after="70" w:line="274"/>
      </w:pPr>
      <w:r>
        <w:rPr>
          <w:b/>
          <w:bCs/>
        </w:rPr>
        <w:t xml:space="preserve">Scenario — accepting FUS Grade 9 would win back ~724 quotes. </w:t>
      </w:r>
      <w:r>
        <w:t xml:space="preserve">It is the clearest binary lever — though far smaller in volume than the $2M cap — and a riskier underwriting choice, since you would be taking on worse fire risk.</w:t>
      </w:r>
    </w:p>
    <w:p>
      <w:pPr>
        <w:pStyle w:val="Heading2"/>
      </w:pPr>
      <w:r>
        <w:t xml:space="preserve">4.4  Rules and alerts</w:t>
      </w:r>
    </w:p>
    <w:p>
      <w:pPr>
        <w:pStyle w:val="ListParagraph"/>
        <w:numPr>
          <w:ilvl w:val="0"/>
          <w:numId w:val="2"/>
        </w:numPr>
        <w:spacing w:after="70" w:line="274"/>
      </w:pPr>
      <w:r>
        <w:rPr>
          <w:b/>
          <w:bCs/>
        </w:rPr>
        <w:t xml:space="preserve">Rules: </w:t>
      </w:r>
      <w:r>
        <w:t xml:space="preserve">rejection logs contain Rule IDs (0.0–4.0). Rule 1.0 is the most frequent, hitting 113 quotes. There is no “Rule 5.0” — a clean example of letting the data correct an assumption.</w:t>
      </w:r>
    </w:p>
    <w:p>
      <w:pPr>
        <w:pStyle w:val="ListParagraph"/>
        <w:numPr>
          <w:ilvl w:val="0"/>
          <w:numId w:val="2"/>
        </w:numPr>
        <w:spacing w:after="70" w:line="274"/>
      </w:pPr>
      <w:r>
        <w:rPr>
          <w:b/>
          <w:bCs/>
        </w:rPr>
        <w:t xml:space="preserve">Alerts: </w:t>
      </w:r>
      <w:r>
        <w:t xml:space="preserve">the top messages are contractor_alerts_cranes_heavy_equip, contractor_alerts_hazardous_materials, and alcohol. Construction (C.E.&amp;I.) triggers the most contractor alerts (21 of 57).</w:t>
      </w:r>
    </w:p>
    <w:p>
      <w:pPr>
        <w:pStyle w:val="ListParagraph"/>
        <w:numPr>
          <w:ilvl w:val="0"/>
          <w:numId w:val="2"/>
        </w:numPr>
        <w:spacing w:after="70" w:line="274"/>
      </w:pPr>
      <w:r>
        <w:rPr>
          <w:b/>
          <w:bCs/>
        </w:rPr>
        <w:t xml:space="preserve">Every quote with an alert is rejected — alerts are hard stops, not warnings. </w:t>
      </w:r>
      <w:r>
        <w:t xml:space="preserve">There are no earthquake alerts, no roof-age alerts, and no sanctions hits in this data.</w:t>
      </w:r>
    </w:p>
    <w:p>
      <w:pPr>
        <w:pStyle w:val="ListParagraph"/>
        <w:numPr>
          <w:ilvl w:val="0"/>
          <w:numId w:val="2"/>
        </w:numPr>
        <w:spacing w:after="70" w:line="274"/>
      </w:pPr>
      <w:r>
        <w:rPr>
          <w:b/>
          <w:bCs/>
        </w:rPr>
        <w:t xml:space="preserve">Stacked flags: 43 quotes have both a FUS issue and a rule </w:t>
      </w:r>
      <w:r>
        <w:t xml:space="preserve">— the genuinely unwriteable business.</w:t>
      </w:r>
    </w:p>
    <w:p>
      <w:pPr>
        <w:pStyle w:val="Heading2"/>
      </w:pPr>
      <w:r>
        <w:t xml:space="preserve">4.5  Address verification and rejection</w:t>
      </w:r>
    </w:p>
    <w:p>
      <w:pPr>
        <w:pStyle w:val="ListParagraph"/>
        <w:numPr>
          <w:ilvl w:val="0"/>
          <w:numId w:val="2"/>
        </w:numPr>
        <w:spacing w:after="70" w:line="274"/>
      </w:pPr>
      <w:r>
        <w:rPr>
          <w:b/>
          <w:bCs/>
        </w:rPr>
        <w:t xml:space="preserve">Quotes without a Google Place ID are rejected more often (56.3%) </w:t>
      </w:r>
      <w:r>
        <w:t xml:space="preserve">than the 50.4% baseline — being unmapped correlates with being declined.</w:t>
      </w:r>
    </w:p>
    <w:p>
      <w:pPr>
        <w:pStyle w:val="ListParagraph"/>
        <w:numPr>
          <w:ilvl w:val="0"/>
          <w:numId w:val="2"/>
        </w:numPr>
        <w:spacing w:after="70" w:line="274"/>
      </w:pPr>
      <w:r>
        <w:rPr>
          <w:b/>
          <w:bCs/>
        </w:rPr>
        <w:t xml:space="preserve">But “fixing Missing Place ID rejections” recovers $0 in modeled revenue, </w:t>
      </w:r>
      <w:r>
        <w:t xml:space="preserve">and Bing links do not fill the gap when Google is missing. So the Place ID is a signal/symptom, not a profitable fix on its own. This foreshadows the “zombie” finding in Topic 3, where missing address data breaks pricing rather than triggering a clean decline.</w:t>
      </w:r>
    </w:p>
    <w:p>
      <w:pPr>
        <w:pStyle w:val="Heading2"/>
      </w:pPr>
      <w:r>
        <w:t xml:space="preserve">4.6  Segments and the integrity check</w:t>
      </w:r>
    </w:p>
    <w:p>
      <w:pPr>
        <w:pStyle w:val="ListParagraph"/>
        <w:numPr>
          <w:ilvl w:val="0"/>
          <w:numId w:val="2"/>
        </w:numPr>
        <w:spacing w:after="70" w:line="274"/>
      </w:pPr>
      <w:r>
        <w:rPr>
          <w:b/>
          <w:bCs/>
        </w:rPr>
        <w:t xml:space="preserve">Highest rejection rate by category: Realty. Lowest: Health Services </w:t>
      </w:r>
      <w:r>
        <w:t xml:space="preserve">(the “safe zone”). By channel, RDC has the highest rejection rate (52.4%).</w:t>
      </w:r>
    </w:p>
    <w:p>
      <w:pPr>
        <w:pStyle w:val="ListParagraph"/>
        <w:numPr>
          <w:ilvl w:val="0"/>
          <w:numId w:val="2"/>
        </w:numPr>
        <w:spacing w:after="70" w:line="274"/>
      </w:pPr>
      <w:r>
        <w:rPr>
          <w:b/>
          <w:bCs/>
        </w:rPr>
        <w:t xml:space="preserve">The “model breaker” check returns 0. </w:t>
      </w:r>
      <w:r>
        <w:t xml:space="preserve">There is no rejected quote with $0 premium and no reasons — i.e., every rejection in the data carries at least one logged reason. There are no silent, unexplained declines, which is a clean bill of health for the decision log.</w:t>
      </w:r>
    </w:p>
    <w:p>
      <w:r>
        <w:br w:type="page"/>
      </w:r>
    </w:p>
    <w:p>
      <w:pPr>
        <w:pStyle w:val="Heading1"/>
        <w:pBdr>
          <w:bottom w:val="single" w:color="F0B49A" w:sz="6" w:space="6"/>
        </w:pBdr>
      </w:pPr>
      <w:r>
        <w:t xml:space="preserve">Part 5 — Topic 3: The quote journey / funnel (your chosen story)</w:t>
      </w:r>
    </w:p>
    <w:p>
      <w:pPr>
        <w:spacing w:after="130" w:line="278"/>
      </w:pPr>
      <w:r>
        <w:t xml:space="preserve">Topic 3 (Q81–Q120) is the conversion lens, and it is where your presentation lives. It asks </w:t>
      </w:r>
      <w:r>
        <w:rPr>
          <w:b/>
          <w:bCs/>
        </w:rPr>
        <w:t xml:space="preserve">where do applicants leave, and what does it cost?</w:t>
      </w:r>
    </w:p>
    <w:p>
      <w:pPr>
        <w:pStyle w:val="Heading2"/>
      </w:pPr>
      <w:r>
        <w:t xml:space="preserve">5.1  Completion — the headline UX metric</w:t>
      </w:r>
    </w:p>
    <w:p>
      <w:pPr>
        <w:pStyle w:val="ListParagraph"/>
        <w:numPr>
          <w:ilvl w:val="0"/>
          <w:numId w:val="2"/>
        </w:numPr>
        <w:spacing w:after="70" w:line="274"/>
      </w:pPr>
      <w:r>
        <w:rPr>
          <w:b/>
          <w:bCs/>
        </w:rPr>
        <w:t xml:space="preserve">6,578 of 9,817 applicants reach “complete quote” — a 67.0% completion rate. </w:t>
      </w:r>
      <w:r>
        <w:t xml:space="preserve">The other 3,239 (33%, your “1 in 3”) abandon partway. This is the spine of the whole deck.</w:t>
      </w:r>
    </w:p>
    <w:p>
      <w:pPr>
        <w:pStyle w:val="Heading2"/>
      </w:pPr>
      <w:r>
        <w:t xml:space="preserve">5.2  Where they leave — the drop-off curve</w:t>
      </w:r>
    </w:p>
    <w:p>
      <w:pPr>
        <w:spacing w:after="130" w:line="278"/>
      </w:pPr>
      <w:r>
        <w:t xml:space="preserve">Counts of applicants by the stage where they stopped (these nine sum to the 3,239 abandoners):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1600"/>
        <w:gridCol w:w="3800"/>
      </w:tblGrid>
      <w:tr>
        <w:trPr>
          <w:tblHeader/>
        </w:trPr>
        <w:tc>
          <w:tcPr>
            <w:tcW w:type="dxa" w:w="8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jc w:val="center"/>
            </w:pPr>
            <w:r>
              <w:rPr>
                <w:b/>
                <w:bCs/>
                <w:sz w:val="20"/>
                <w:szCs w:val="20"/>
              </w:rPr>
              <w:t xml:space="preserve">Stage</w:t>
            </w:r>
          </w:p>
        </w:tc>
        <w:tc>
          <w:tcPr>
            <w:tcW w:type="dxa" w:w="316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Question</w:t>
            </w:r>
          </w:p>
        </w:tc>
        <w:tc>
          <w:tcPr>
            <w:tcW w:type="dxa" w:w="16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jc w:val="center"/>
            </w:pPr>
            <w:r>
              <w:rPr>
                <w:b/>
                <w:bCs/>
                <w:sz w:val="20"/>
                <w:szCs w:val="20"/>
              </w:rPr>
              <w:t xml:space="preserve">Dropped here</w:t>
            </w:r>
          </w:p>
        </w:tc>
        <w:tc>
          <w:tcPr>
            <w:tcW w:type="dxa" w:w="38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Rank</w:t>
            </w:r>
          </w:p>
        </w:tc>
      </w:tr>
      <w:tr>
        <w:tc>
          <w:tcPr>
            <w:tcW w:type="dxa" w:w="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2</w:t>
            </w:r>
          </w:p>
        </w:tc>
        <w:tc>
          <w:tcPr>
            <w:tcW w:type="dxa" w:w="3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Annual revenue</w:t>
            </w:r>
          </w:p>
        </w:tc>
        <w:tc>
          <w:tcPr>
            <w:tcW w:type="dxa" w:w="1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600</w:t>
            </w:r>
          </w:p>
        </w:tc>
        <w:tc>
          <w:tcPr>
            <w:tcW w:type="dxa" w:w="3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#1 biggest leak</w:t>
            </w:r>
          </w:p>
        </w:tc>
      </w:tr>
      <w:tr>
        <w:tc>
          <w:tcPr>
            <w:tcW w:type="dxa" w:w="8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6</w:t>
            </w:r>
          </w:p>
        </w:tc>
        <w:tc>
          <w:tcPr>
            <w:tcW w:type="dxa" w:w="31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Contents coverage</w:t>
            </w:r>
          </w:p>
        </w:tc>
        <w:tc>
          <w:tcPr>
            <w:tcW w:type="dxa" w:w="1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575</w:t>
            </w:r>
          </w:p>
        </w:tc>
        <w:tc>
          <w:tcPr>
            <w:tcW w:type="dxa" w:w="38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#2</w:t>
            </w:r>
          </w:p>
        </w:tc>
      </w:tr>
      <w:tr>
        <w:tc>
          <w:tcPr>
            <w:tcW w:type="dxa" w:w="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1</w:t>
            </w:r>
          </w:p>
        </w:tc>
        <w:tc>
          <w:tcPr>
            <w:tcW w:type="dxa" w:w="3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Business location</w:t>
            </w:r>
          </w:p>
        </w:tc>
        <w:tc>
          <w:tcPr>
            <w:tcW w:type="dxa" w:w="1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451</w:t>
            </w:r>
          </w:p>
        </w:tc>
        <w:tc>
          <w:tcPr>
            <w:tcW w:type="dxa" w:w="3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#3</w:t>
            </w:r>
          </w:p>
        </w:tc>
      </w:tr>
      <w:tr>
        <w:tc>
          <w:tcPr>
            <w:tcW w:type="dxa" w:w="8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4</w:t>
            </w:r>
          </w:p>
        </w:tc>
        <w:tc>
          <w:tcPr>
            <w:tcW w:type="dxa" w:w="31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Number of employees</w:t>
            </w:r>
          </w:p>
        </w:tc>
        <w:tc>
          <w:tcPr>
            <w:tcW w:type="dxa" w:w="1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399</w:t>
            </w:r>
          </w:p>
        </w:tc>
        <w:tc>
          <w:tcPr>
            <w:tcW w:type="dxa" w:w="38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#4</w:t>
            </w:r>
          </w:p>
        </w:tc>
      </w:tr>
      <w:tr>
        <w:tc>
          <w:tcPr>
            <w:tcW w:type="dxa" w:w="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8</w:t>
            </w:r>
          </w:p>
        </w:tc>
        <w:tc>
          <w:tcPr>
            <w:tcW w:type="dxa" w:w="3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Enter information</w:t>
            </w:r>
          </w:p>
        </w:tc>
        <w:tc>
          <w:tcPr>
            <w:tcW w:type="dxa" w:w="1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389</w:t>
            </w:r>
          </w:p>
        </w:tc>
        <w:tc>
          <w:tcPr>
            <w:tcW w:type="dxa" w:w="3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#5</w:t>
            </w:r>
          </w:p>
        </w:tc>
      </w:tr>
      <w:tr>
        <w:tc>
          <w:tcPr>
            <w:tcW w:type="dxa" w:w="8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3</w:t>
            </w:r>
          </w:p>
        </w:tc>
        <w:tc>
          <w:tcPr>
            <w:tcW w:type="dxa" w:w="31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Business years</w:t>
            </w:r>
          </w:p>
        </w:tc>
        <w:tc>
          <w:tcPr>
            <w:tcW w:type="dxa" w:w="1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230</w:t>
            </w:r>
          </w:p>
        </w:tc>
        <w:tc>
          <w:tcPr>
            <w:tcW w:type="dxa" w:w="38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#6</w:t>
            </w:r>
          </w:p>
        </w:tc>
      </w:tr>
      <w:tr>
        <w:tc>
          <w:tcPr>
            <w:tcW w:type="dxa" w:w="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9</w:t>
            </w:r>
          </w:p>
        </w:tc>
        <w:tc>
          <w:tcPr>
            <w:tcW w:type="dxa" w:w="3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When to begin coverage</w:t>
            </w:r>
          </w:p>
        </w:tc>
        <w:tc>
          <w:tcPr>
            <w:tcW w:type="dxa" w:w="1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207</w:t>
            </w:r>
          </w:p>
        </w:tc>
        <w:tc>
          <w:tcPr>
            <w:tcW w:type="dxa" w:w="3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#7 (a late, “tragic” drop)</w:t>
            </w:r>
          </w:p>
        </w:tc>
      </w:tr>
      <w:tr>
        <w:tc>
          <w:tcPr>
            <w:tcW w:type="dxa" w:w="8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7</w:t>
            </w:r>
          </w:p>
        </w:tc>
        <w:tc>
          <w:tcPr>
            <w:tcW w:type="dxa" w:w="31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Liability coverage</w:t>
            </w:r>
          </w:p>
        </w:tc>
        <w:tc>
          <w:tcPr>
            <w:tcW w:type="dxa" w:w="1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195</w:t>
            </w:r>
          </w:p>
        </w:tc>
        <w:tc>
          <w:tcPr>
            <w:tcW w:type="dxa" w:w="38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#8</w:t>
            </w:r>
          </w:p>
        </w:tc>
      </w:tr>
      <w:tr>
        <w:tc>
          <w:tcPr>
            <w:tcW w:type="dxa" w:w="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5</w:t>
            </w:r>
          </w:p>
        </w:tc>
        <w:tc>
          <w:tcPr>
            <w:tcW w:type="dxa" w:w="31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Past claims</w:t>
            </w:r>
          </w:p>
        </w:tc>
        <w:tc>
          <w:tcPr>
            <w:tcW w:type="dxa" w:w="1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193</w:t>
            </w:r>
          </w:p>
        </w:tc>
        <w:tc>
          <w:tcPr>
            <w:tcW w:type="dxa" w:w="38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#9 (~2% only)</w:t>
            </w:r>
          </w:p>
        </w:tc>
      </w:tr>
    </w:tbl>
    <w:p>
      <w:pPr>
        <w:spacing w:after="130" w:line="278"/>
      </w:pPr>
      <w:r>
        <w:t xml:space="preserve">The single biggest leak is </w:t>
      </w:r>
      <w:r>
        <w:rPr>
          <w:b/>
          <w:bCs/>
        </w:rPr>
        <w:t xml:space="preserve">Stage 2, Annual Revenue (600)</w:t>
      </w:r>
      <w:r>
        <w:t xml:space="preserve">; the second is </w:t>
      </w:r>
      <w:r>
        <w:rPr>
          <w:b/>
          <w:bCs/>
        </w:rPr>
        <w:t xml:space="preserve">Stage 6, Contents Coverage (575)</w:t>
      </w:r>
      <w:r>
        <w:t xml:space="preserve">; the third is Stage 1, Business Location (451). Note what the chart does and does not tell you: it shows </w:t>
      </w:r>
      <w:r>
        <w:rPr>
          <w:b/>
          <w:bCs/>
        </w:rPr>
        <w:t xml:space="preserve">where</w:t>
      </w:r>
      <w:r>
        <w:t xml:space="preserve"> people leave, not </w:t>
      </w:r>
      <w:r>
        <w:rPr>
          <w:b/>
          <w:bCs/>
        </w:rPr>
        <w:t xml:space="preserve">why</w:t>
      </w:r>
      <w:r>
        <w:t xml:space="preserve">. The two biggest leaks are both sensitive “how much do you have” money questions, and revenue is only the </w:t>
      </w:r>
      <w:r>
        <w:rPr>
          <w:b/>
          <w:bCs/>
        </w:rPr>
        <w:t xml:space="preserve">second</w:t>
      </w:r>
      <w:r>
        <w:t xml:space="preserve"> question asked — but pinning down the cause takes the analysis in 5.7.</w:t>
      </w:r>
    </w:p>
    <w:p>
      <w:pPr>
        <w:pStyle w:val="Heading2"/>
      </w:pPr>
      <w:r>
        <w:t xml:space="preserve">5.3  What the funnel is worth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4B4" w:sz="1"/>
              <w:left w:val="single" w:color="BF5B2D" w:sz="12"/>
              <w:bottom w:val="single" w:color="E2C4B4" w:sz="1"/>
              <w:right w:val="single" w:color="E2C4B4" w:sz="1"/>
            </w:tcBorders>
            <w:shd w:fill="F4F3F0" w:val="clear"/>
            <w:tcMar>
              <w:top w:type="dxa" w:w="110"/>
              <w:left w:type="dxa" w:w="160"/>
              <w:bottom w:type="dxa" w:w="110"/>
              <w:right w:type="dxa" w:w="140"/>
            </w:tcMar>
          </w:tcPr>
          <w:p>
            <w:pPr>
              <w:spacing w:line="276"/>
            </w:pPr>
            <w:r>
              <w:rPr>
                <w:b/>
                <w:bCs/>
              </w:rPr>
              <w:t xml:space="preserve">Total potential revenue lost in the funnel: ~$30.9M </w:t>
            </w:r>
            <w:r>
              <w:t xml:space="preserve">— the 3,239 abandoned quotes valued at the $9,541 average premium. This is the “big number for the CEO,” and it is </w:t>
            </w:r>
            <w:r>
              <w:rPr>
                <w:b/>
                <w:bCs/>
              </w:rPr>
              <w:t xml:space="preserve">larger than the $23.08M the book actually captures</w:t>
            </w:r>
            <w:r>
              <w:t xml:space="preserve">. In other words, more potential premium walks out of the funnel than is currently collected. Because Stage 2 has the most drop-offs, it also holds the most lost-revenue potential — the biggest UX leak is also the biggest revenue leak.</w:t>
            </w:r>
          </w:p>
        </w:tc>
      </w:tr>
    </w:tbl>
    <w:p>
      <w:pPr>
        <w:pStyle w:val="Heading2"/>
      </w:pPr>
      <w:r>
        <w:t xml:space="preserve">5.4  The “zombie” cohort — your second exhibit</w:t>
      </w:r>
    </w:p>
    <w:p>
      <w:pPr>
        <w:spacing w:after="130" w:line="278"/>
      </w:pPr>
      <w:r>
        <w:rPr>
          <w:b/>
          <w:bCs/>
        </w:rPr>
        <w:t xml:space="preserve">Definition. </w:t>
      </w:r>
      <w:r>
        <w:t xml:space="preserve">A “zombie” quote reaches “complete” but has </w:t>
      </w:r>
      <w:r>
        <w:rPr>
          <w:b/>
          <w:bCs/>
        </w:rPr>
        <w:t xml:space="preserve">no underwriting decision</w:t>
      </w:r>
      <w:r>
        <w:t xml:space="preserve"> (blank rejection) and </w:t>
      </w:r>
      <w:r>
        <w:rPr>
          <w:b/>
          <w:bCs/>
        </w:rPr>
        <w:t xml:space="preserve">no premium</w:t>
      </w:r>
      <w:r>
        <w:t xml:space="preserve"> — it finishes the form but is never priced. By this definition there are about </w:t>
      </w:r>
      <w:r>
        <w:rPr>
          <w:b/>
          <w:bCs/>
        </w:rPr>
        <w:t xml:space="preserve">1,086</w:t>
      </w:r>
      <w:r>
        <w:t xml:space="preserve"> of them (the 6,578 completed minus the 5,492 that received a decision).</w:t>
      </w:r>
    </w:p>
    <w:p>
      <w:pPr>
        <w:pStyle w:val="ListParagraph"/>
        <w:numPr>
          <w:ilvl w:val="0"/>
          <w:numId w:val="2"/>
        </w:numPr>
        <w:spacing w:after="70" w:line="274"/>
      </w:pPr>
      <w:r>
        <w:rPr>
          <w:b/>
          <w:bCs/>
        </w:rPr>
        <w:t xml:space="preserve">Estimated tied-up revenue: ~$10.36M </w:t>
      </w:r>
      <w:r>
        <w:t xml:space="preserve">(zombie count × average premium).</w:t>
      </w:r>
    </w:p>
    <w:p>
      <w:pPr>
        <w:pStyle w:val="ListParagraph"/>
        <w:numPr>
          <w:ilvl w:val="0"/>
          <w:numId w:val="2"/>
        </w:numPr>
        <w:spacing w:after="70" w:line="274"/>
      </w:pPr>
      <w:r>
        <w:rPr>
          <w:b/>
          <w:bCs/>
        </w:rPr>
        <w:t xml:space="preserve">Cause: a data/lookup failure, not a decline. </w:t>
      </w:r>
      <w:r>
        <w:t xml:space="preserve">Most zombies have no Google map link (only ~145 do) and are missing their industry category (~1,025) — the address/business lookup failed, so pricing never ran. It is explicitly not an underwriting rejection. That distinction is the entire point of the exhibit.</w:t>
      </w:r>
    </w:p>
    <w:p>
      <w:pPr>
        <w:pStyle w:val="ListParagraph"/>
        <w:numPr>
          <w:ilvl w:val="0"/>
          <w:numId w:val="2"/>
        </w:numPr>
        <w:spacing w:after="70" w:line="274"/>
      </w:pPr>
      <w:r>
        <w:rPr>
          <w:b/>
          <w:bCs/>
        </w:rPr>
        <w:t xml:space="preserve">Always label this one an estimate. </w:t>
      </w:r>
      <w:r>
        <w:t xml:space="preserve">The count depends on exactly how you define a zombie (completed-and-undecided vs completed-and-unpriced give slightly different numbers).</w:t>
      </w:r>
    </w:p>
    <w:p>
      <w:pPr>
        <w:pStyle w:val="Heading2"/>
      </w:pPr>
      <w:r>
        <w:t xml:space="preserve">5.5  Repeat applicants (duplicates)</w:t>
      </w:r>
    </w:p>
    <w:p>
      <w:pPr>
        <w:pStyle w:val="ListParagraph"/>
        <w:numPr>
          <w:ilvl w:val="0"/>
          <w:numId w:val="2"/>
        </w:numPr>
        <w:spacing w:after="70" w:line="274"/>
      </w:pPr>
      <w:r>
        <w:rPr>
          <w:b/>
          <w:bCs/>
        </w:rPr>
        <w:t xml:space="preserve">1,305 emails appear more than once </w:t>
      </w:r>
      <w:r>
        <w:t xml:space="preserve">(same hashed email, multiple attempts).</w:t>
      </w:r>
    </w:p>
    <w:p>
      <w:pPr>
        <w:pStyle w:val="ListParagraph"/>
        <w:numPr>
          <w:ilvl w:val="0"/>
          <w:numId w:val="2"/>
        </w:numPr>
        <w:spacing w:after="70" w:line="274"/>
      </w:pPr>
      <w:r>
        <w:rPr>
          <w:b/>
          <w:bCs/>
        </w:rPr>
        <w:t xml:space="preserve">Repeat attempts complete far less often — only ~34.8% finish. </w:t>
      </w:r>
      <w:r>
        <w:t xml:space="preserve">So a repeat attempt signals frustration or a system problem, not “third time's the charm.”</w:t>
      </w:r>
    </w:p>
    <w:p>
      <w:pPr>
        <w:pStyle w:val="Heading2"/>
      </w:pPr>
      <w:r>
        <w:t xml:space="preserve">5.6  Things that do NOT explain the leak (controls that strengthen the story)</w:t>
      </w:r>
    </w:p>
    <w:p>
      <w:pPr>
        <w:pStyle w:val="ListParagraph"/>
        <w:numPr>
          <w:ilvl w:val="0"/>
          <w:numId w:val="2"/>
        </w:numPr>
        <w:spacing w:after="70" w:line="274"/>
      </w:pPr>
      <w:r>
        <w:rPr>
          <w:b/>
          <w:bCs/>
        </w:rPr>
        <w:t xml:space="preserve">Having a verified address (Place ID) does not improve completion </w:t>
      </w:r>
      <w:r>
        <w:t xml:space="preserve">(~63.7% vs the 67% baseline). So the drop-off is not simply “tire-kickers vs real businesses.”</w:t>
      </w:r>
    </w:p>
    <w:p>
      <w:pPr>
        <w:pStyle w:val="ListParagraph"/>
        <w:numPr>
          <w:ilvl w:val="0"/>
          <w:numId w:val="2"/>
        </w:numPr>
        <w:spacing w:after="70" w:line="274"/>
      </w:pPr>
      <w:r>
        <w:rPr>
          <w:b/>
          <w:bCs/>
        </w:rPr>
        <w:t xml:space="preserve">Contractors and Retail complete at nearly the same rate, and high-value categories do not finish faster. </w:t>
      </w:r>
      <w:r>
        <w:t xml:space="preserve">So the leak is not segment-specific — it is structural, in the form itself.</w:t>
      </w:r>
    </w:p>
    <w:p>
      <w:pPr>
        <w:pStyle w:val="ListParagraph"/>
        <w:numPr>
          <w:ilvl w:val="0"/>
          <w:numId w:val="2"/>
        </w:numPr>
        <w:spacing w:after="70" w:line="274"/>
      </w:pPr>
      <w:r>
        <w:rPr>
          <w:b/>
          <w:bCs/>
        </w:rPr>
        <w:t xml:space="preserve">Cosmetic fixes are small: </w:t>
      </w:r>
      <w:r>
        <w:t xml:space="preserve">auto-filling the address would recover only ~22 quotes, and halving the Stage-3 drop only ~115 — both tiny next to the 600 at Stage 2. This is exactly how you justify prioritizing the revenue question over polish.</w:t>
      </w:r>
    </w:p>
    <w:p>
      <w:pPr>
        <w:pStyle w:val="Heading2"/>
      </w:pPr>
      <w:r>
        <w:t xml:space="preserve">5.7  Why Stage 2 leaks — and how sure we can be</w:t>
      </w:r>
    </w:p>
    <w:p>
      <w:pPr>
        <w:spacing w:after="130" w:line="278"/>
      </w:pPr>
      <w:r>
        <w:t xml:space="preserve">This is the question a sharp reviewer will press, so be precise about the line between fact and hypothesis. </w:t>
      </w:r>
      <w:r>
        <w:rPr>
          <w:b/>
          <w:bCs/>
        </w:rPr>
        <w:t xml:space="preserve">Fact: </w:t>
      </w:r>
      <w:r>
        <w:t xml:space="preserve">Stage 2 (Annual Revenue) is the biggest drop-off — 600 people. </w:t>
      </w:r>
      <w:r>
        <w:rPr>
          <w:b/>
          <w:bCs/>
        </w:rPr>
        <w:t xml:space="preserve">Hypothesis: </w:t>
      </w:r>
      <w:r>
        <w:t xml:space="preserve">they leave because it is a sensitive money question asked too early. The drop-off counts alone cannot prove the “why.”</w:t>
      </w:r>
    </w:p>
    <w:p>
      <w:pPr>
        <w:spacing w:after="130" w:line="278"/>
      </w:pPr>
      <w:r>
        <w:t xml:space="preserve">There are two competing explanations, and the $2M cap is why they matter:</w:t>
      </w:r>
    </w:p>
    <w:p>
      <w:pPr>
        <w:pStyle w:val="ListParagraph"/>
        <w:numPr>
          <w:ilvl w:val="0"/>
          <w:numId w:val="2"/>
        </w:numPr>
        <w:spacing w:after="70" w:line="274"/>
      </w:pPr>
      <w:r>
        <w:rPr>
          <w:b/>
          <w:bCs/>
        </w:rPr>
        <w:t xml:space="preserve">(A) Sensitivity — </w:t>
      </w:r>
      <w:r>
        <w:t xml:space="preserve">eligible businesses (under $2M) balk at sharing revenue so early and abandon.</w:t>
      </w:r>
    </w:p>
    <w:p>
      <w:pPr>
        <w:pStyle w:val="ListParagraph"/>
        <w:numPr>
          <w:ilvl w:val="0"/>
          <w:numId w:val="2"/>
        </w:numPr>
        <w:spacing w:after="70" w:line="274"/>
      </w:pPr>
      <w:r>
        <w:rPr>
          <w:b/>
          <w:bCs/>
        </w:rPr>
        <w:t xml:space="preserve">(B) Self-selection — </w:t>
      </w:r>
      <w:r>
        <w:t xml:space="preserve">businesses that know they are over $2M sense they will not qualify and leave at that question.</w:t>
      </w:r>
    </w:p>
    <w:p>
      <w:pPr>
        <w:spacing w:after="130" w:line="278"/>
      </w:pPr>
      <w:r>
        <w:t xml:space="preserve">If it were mostly (B), reordering would recover almost nothing — those businesses are out of appetite. Two pieces of evidence argue against (B):</w:t>
      </w:r>
    </w:p>
    <w:p>
      <w:pPr>
        <w:pStyle w:val="ListParagraph"/>
        <w:numPr>
          <w:ilvl w:val="0"/>
          <w:numId w:val="2"/>
        </w:numPr>
        <w:spacing w:after="70" w:line="274"/>
      </w:pPr>
      <w:r>
        <w:rPr>
          <w:b/>
          <w:bCs/>
        </w:rPr>
        <w:t xml:space="preserve">Big businesses do not quit at Stage 2 — they push through. </w:t>
      </w:r>
      <w:r>
        <w:t xml:space="preserve">Firms over $2M make up about 35% of everyone who completes the form (the 2,293 cap rejections). If they were leaving at the revenue question, they would not dominate the completers.</w:t>
      </w:r>
    </w:p>
    <w:p>
      <w:pPr>
        <w:pStyle w:val="ListParagraph"/>
        <w:numPr>
          <w:ilvl w:val="0"/>
          <w:numId w:val="2"/>
        </w:numPr>
        <w:spacing w:after="70" w:line="274"/>
      </w:pPr>
      <w:r>
        <w:rPr>
          <w:b/>
          <w:bCs/>
        </w:rPr>
        <w:t xml:space="preserve">You cannot self-select out of a rule you never see. </w:t>
      </w:r>
      <w:r>
        <w:t xml:space="preserve">The cap is applied silently, only after completion (zero cap rejections occur before the end), so there is no mechanism for a &gt;$2M business to abandon at Stage 2 because of it.</w:t>
      </w:r>
    </w:p>
    <w:p>
      <w:pPr>
        <w:spacing w:after="130" w:line="278"/>
      </w:pPr>
      <w:r>
        <w:t xml:space="preserve">So the evidence points to (A) — a genuine friction point for eligible businesses — but it is </w:t>
      </w:r>
      <w:r>
        <w:rPr>
          <w:b/>
          <w:bCs/>
        </w:rPr>
        <w:t xml:space="preserve">circumstantial, not proof</w:t>
      </w:r>
      <w:r>
        <w:t xml:space="preserve">, because we have </w:t>
      </w:r>
      <w:r>
        <w:rPr>
          <w:b/>
          <w:bCs/>
        </w:rPr>
        <w:t xml:space="preserve">no revenue figure for any of the 600 abandoners</w:t>
      </w:r>
      <w:r>
        <w:t xml:space="preserve"> (revenue is only captured when a quote completes and trips the cap). The only way to confirm is to test it, which is exactly why “re-test and measure” is a recommendation rather than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4B4" w:sz="1"/>
              <w:left w:val="single" w:color="BF5B2D" w:sz="12"/>
              <w:bottom w:val="single" w:color="E2C4B4" w:sz="1"/>
              <w:right w:val="single" w:color="E2C4B4" w:sz="1"/>
            </w:tcBorders>
            <w:shd w:fill="F4F3F0" w:val="clear"/>
            <w:tcMar>
              <w:top w:type="dxa" w:w="110"/>
              <w:left w:type="dxa" w:w="160"/>
              <w:bottom w:type="dxa" w:w="110"/>
              <w:right w:type="dxa" w:w="140"/>
            </w:tcMar>
          </w:tcPr>
          <w:p>
            <w:pPr>
              <w:spacing w:line="276"/>
            </w:pPr>
            <w:r>
              <w:rPr>
                <w:b/>
                <w:bCs/>
              </w:rPr>
              <w:t xml:space="preserve">The clean logic chain to say out loud: </w:t>
            </w:r>
            <w:r>
              <w:t xml:space="preserve">Stage 2 is the biggest leak; it cannot mostly be big businesses leaving, because (1) &gt;$2M firms are ~35% of completers and (2) the cap is silent until the end; so the revenue question is most likely a real friction point — which we confirm by testing.</w:t>
            </w:r>
          </w:p>
        </w:tc>
      </w:tr>
    </w:tbl>
    <w:p>
      <w:r>
        <w:br w:type="page"/>
      </w:r>
    </w:p>
    <w:p>
      <w:pPr>
        <w:pStyle w:val="Heading1"/>
        <w:pBdr>
          <w:bottom w:val="single" w:color="F0B49A" w:sz="6" w:space="6"/>
        </w:pBdr>
      </w:pPr>
      <w:r>
        <w:t xml:space="preserve">Part 6 — The storyline: why “the revenue question”</w:t>
      </w:r>
    </w:p>
    <w:p>
      <w:pPr>
        <w:pStyle w:val="Heading2"/>
      </w:pPr>
      <w:r>
        <w:t xml:space="preserve">6.1  The one-sentence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C4B4" w:sz="1"/>
              <w:left w:val="single" w:color="BF5B2D" w:sz="12"/>
              <w:bottom w:val="single" w:color="E2C4B4" w:sz="1"/>
              <w:right w:val="single" w:color="E2C4B4" w:sz="1"/>
            </w:tcBorders>
            <w:shd w:fill="F4F3F0" w:val="clear"/>
            <w:tcMar>
              <w:top w:type="dxa" w:w="110"/>
              <w:left w:type="dxa" w:w="160"/>
              <w:bottom w:type="dxa" w:w="110"/>
              <w:right w:type="dxa" w:w="140"/>
            </w:tcMar>
          </w:tcPr>
          <w:p>
            <w:pPr>
              <w:spacing w:line="276"/>
            </w:pPr>
            <w:r>
              <w:t xml:space="preserve">Supernova loses </w:t>
            </w:r>
            <w:r>
              <w:rPr>
                <w:b/>
                <w:bCs/>
              </w:rPr>
              <w:t xml:space="preserve">one in three</w:t>
            </w:r>
            <w:r>
              <w:t xml:space="preserve"> applicants before they ever see a price, and the single biggest leak is the </w:t>
            </w:r>
            <w:r>
              <w:rPr>
                <w:b/>
                <w:bCs/>
              </w:rPr>
              <w:t xml:space="preserve">Annual Revenue</w:t>
            </w:r>
            <w:r>
              <w:t xml:space="preserve"> question at step two — which is doing double duty as a sensitive money question and as the eligibility gate for the $2M cap. </w:t>
            </w:r>
            <w:r>
              <w:rPr>
                <w:b/>
                <w:bCs/>
              </w:rPr>
              <w:t xml:space="preserve">Splitting that question</w:t>
            </w:r>
            <w:r>
              <w:t xml:space="preserve"> — a quick eligibility check up front, the detailed figure later — and fixing the address lookup that creates “zombie” quotes is the highest-leverage, lowest-risk way to recover a large pool of abandoned premium.</w:t>
            </w:r>
          </w:p>
        </w:tc>
      </w:tr>
    </w:tbl>
    <w:p>
      <w:pPr>
        <w:pStyle w:val="Heading2"/>
      </w:pPr>
      <w:r>
        <w:t xml:space="preserve">6.2  Why this story, and not the other two</w:t>
      </w:r>
    </w:p>
    <w:p>
      <w:pPr>
        <w:pStyle w:val="ListParagraph"/>
        <w:numPr>
          <w:ilvl w:val="0"/>
          <w:numId w:val="2"/>
        </w:numPr>
        <w:spacing w:after="70" w:line="274"/>
      </w:pPr>
      <w:r>
        <w:rPr>
          <w:b/>
          <w:bCs/>
        </w:rPr>
        <w:t xml:space="preserve">It passes the what / why / so-what test cleanly: </w:t>
      </w:r>
      <w:r>
        <w:t xml:space="preserve">what (Stage 2 is the biggest leak), why (a sensitive question that also carries the eligibility gate), so what (~$30.9M abandoned; split the question and test).</w:t>
      </w:r>
    </w:p>
    <w:p>
      <w:pPr>
        <w:pStyle w:val="ListParagraph"/>
        <w:numPr>
          <w:ilvl w:val="0"/>
          <w:numId w:val="2"/>
        </w:numPr>
        <w:spacing w:after="70" w:line="274"/>
      </w:pPr>
      <w:r>
        <w:rPr>
          <w:b/>
          <w:bCs/>
        </w:rPr>
        <w:t xml:space="preserve">The recommendation is concrete and low-risk </w:t>
      </w:r>
      <w:r>
        <w:t xml:space="preserve">— split the question and fix a data lookup — versus Topic 2's natural recommendation (“accept worse fire risk”), which is a risky underwriting loosening.</w:t>
      </w:r>
    </w:p>
    <w:p>
      <w:pPr>
        <w:pStyle w:val="ListParagraph"/>
        <w:numPr>
          <w:ilvl w:val="0"/>
          <w:numId w:val="2"/>
        </w:numPr>
        <w:spacing w:after="70" w:line="274"/>
      </w:pPr>
      <w:r>
        <w:rPr>
          <w:b/>
          <w:bCs/>
        </w:rPr>
        <w:t xml:space="preserve">It is the most visual story. </w:t>
      </w:r>
      <w:r>
        <w:t xml:space="preserve">The stage drop-off bar chart is immediate and self-explanatory, which matters for a 6-minute talk graded on clarity and storytelling.</w:t>
      </w:r>
    </w:p>
    <w:p>
      <w:pPr>
        <w:pStyle w:val="ListParagraph"/>
        <w:numPr>
          <w:ilvl w:val="0"/>
          <w:numId w:val="2"/>
        </w:numPr>
        <w:spacing w:after="70" w:line="274"/>
      </w:pPr>
      <w:r>
        <w:rPr>
          <w:b/>
          <w:bCs/>
        </w:rPr>
        <w:t xml:space="preserve">It still uses the best of the other topics: </w:t>
      </w:r>
      <w:r>
        <w:t xml:space="preserve">the $23.08M and $9,541 from Topic 1 to size the prize, and the decision/zombie distinction informed by Topic 2.</w:t>
      </w:r>
    </w:p>
    <w:p>
      <w:pPr>
        <w:pStyle w:val="Heading2"/>
      </w:pPr>
      <w:r>
        <w:t xml:space="preserve">6.3  How the exhibits build on each other</w:t>
      </w:r>
    </w:p>
    <w:p>
      <w:pPr>
        <w:spacing w:after="130" w:line="278"/>
      </w:pPr>
      <w:r>
        <w:t xml:space="preserve">Each slide answers the question the previous one raises: </w:t>
      </w:r>
      <w:r>
        <w:rPr>
          <w:b/>
          <w:bCs/>
        </w:rPr>
        <w:t xml:space="preserve">Problem</w:t>
      </w:r>
      <w:r>
        <w:t xml:space="preserve"> (1 in 3 abandon) → </w:t>
      </w:r>
      <w:r>
        <w:rPr>
          <w:b/>
          <w:bCs/>
        </w:rPr>
        <w:t xml:space="preserve">Exhibit 1</w:t>
      </w:r>
      <w:r>
        <w:t xml:space="preserve"> (the drop-off curve — revenue is the peak) → </w:t>
      </w:r>
      <w:r>
        <w:rPr>
          <w:b/>
          <w:bCs/>
        </w:rPr>
        <w:t xml:space="preserve">Exhibit 2</w:t>
      </w:r>
      <w:r>
        <w:t xml:space="preserve"> (why — the revenue question carries too much) → </w:t>
      </w:r>
      <w:r>
        <w:rPr>
          <w:b/>
          <w:bCs/>
        </w:rPr>
        <w:t xml:space="preserve">Exhibit 3</w:t>
      </w:r>
      <w:r>
        <w:t xml:space="preserve"> (even finishers leak — the $0-premium zombies) → </w:t>
      </w:r>
      <w:r>
        <w:rPr>
          <w:b/>
          <w:bCs/>
        </w:rPr>
        <w:t xml:space="preserve">Exhibit 4</w:t>
      </w:r>
      <w:r>
        <w:t xml:space="preserve"> (what it is worth — $30.9M vs $23.1M) → </w:t>
      </w:r>
      <w:r>
        <w:rPr>
          <w:b/>
          <w:bCs/>
        </w:rPr>
        <w:t xml:space="preserve">Recommendations</w:t>
      </w:r>
      <w:r>
        <w:t xml:space="preserve"> (split the question, fix the lookup, re-test).</w:t>
      </w:r>
    </w:p>
    <w:p>
      <w:r>
        <w:br w:type="page"/>
      </w:r>
    </w:p>
    <w:p>
      <w:pPr>
        <w:pStyle w:val="Heading1"/>
        <w:pBdr>
          <w:bottom w:val="single" w:color="F0B49A" w:sz="6" w:space="6"/>
        </w:pBdr>
      </w:pPr>
      <w:r>
        <w:t xml:space="preserve">Part 7 — The presentation, slide by slide</w:t>
      </w:r>
    </w:p>
    <w:p>
      <w:pPr>
        <w:spacing w:after="130" w:line="278"/>
      </w:pPr>
      <w:r>
        <w:t xml:space="preserve">For each slide: what is on it, the number that anchors it, and a one-line talking point you can say out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500"/>
        <w:gridCol w:w="4700"/>
      </w:tblGrid>
      <w:tr>
        <w:trPr>
          <w:tblHeader/>
        </w:trPr>
        <w:tc>
          <w:tcPr>
            <w:tcW w:type="dxa" w:w="56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jc w:val="center"/>
            </w:pPr>
            <w:r>
              <w:rPr>
                <w:b/>
                <w:bCs/>
                <w:sz w:val="20"/>
                <w:szCs w:val="20"/>
              </w:rPr>
              <w:t xml:space="preserve">#</w:t>
            </w:r>
          </w:p>
        </w:tc>
        <w:tc>
          <w:tcPr>
            <w:tcW w:type="dxa" w:w="26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Slide</w:t>
            </w:r>
          </w:p>
        </w:tc>
        <w:tc>
          <w:tcPr>
            <w:tcW w:type="dxa" w:w="15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jc w:val="center"/>
            </w:pPr>
            <w:r>
              <w:rPr>
                <w:b/>
                <w:bCs/>
                <w:sz w:val="20"/>
                <w:szCs w:val="20"/>
              </w:rPr>
              <w:t xml:space="preserve">Anchor</w:t>
            </w:r>
          </w:p>
        </w:tc>
        <w:tc>
          <w:tcPr>
            <w:tcW w:type="dxa" w:w="47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Say this</w:t>
            </w:r>
          </w:p>
        </w:tc>
      </w:tr>
      <w:tr>
        <w:tc>
          <w:tcPr>
            <w:tcW w:type="dxa" w:w="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1</w:t>
            </w:r>
          </w:p>
        </w:tc>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Title — “The Revenue Question”</w:t>
            </w:r>
          </w:p>
        </w:tc>
        <w:tc>
          <w:tcPr>
            <w:tcW w:type="dxa" w:w="1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w:t>
            </w:r>
          </w:p>
        </w:tc>
        <w:tc>
          <w:tcPr>
            <w:tcW w:type="dxa" w:w="47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“This is about where we lose quotes before we ever get to price them.”</w:t>
            </w:r>
          </w:p>
        </w:tc>
      </w:tr>
      <w:tr>
        <w:tc>
          <w:tcPr>
            <w:tcW w:type="dxa" w:w="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2</w:t>
            </w:r>
          </w:p>
        </w:tc>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Problem (9,817 / 67% / 3,239)</w:t>
            </w:r>
          </w:p>
        </w:tc>
        <w:tc>
          <w:tcPr>
            <w:tcW w:type="dxa" w:w="1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1 in 3</w:t>
            </w:r>
          </w:p>
        </w:tc>
        <w:tc>
          <w:tcPr>
            <w:tcW w:type="dxa" w:w="47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“We get strong traffic, two-thirds finish — but a full third walk away before we quote them.”</w:t>
            </w:r>
          </w:p>
        </w:tc>
      </w:tr>
      <w:tr>
        <w:tc>
          <w:tcPr>
            <w:tcW w:type="dxa" w:w="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3</w:t>
            </w:r>
          </w:p>
        </w:tc>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Exhibit 1 — drop-off chart</w:t>
            </w:r>
          </w:p>
        </w:tc>
        <w:tc>
          <w:tcPr>
            <w:tcW w:type="dxa" w:w="1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600 at Stage 2</w:t>
            </w:r>
          </w:p>
        </w:tc>
        <w:tc>
          <w:tcPr>
            <w:tcW w:type="dxa" w:w="47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“If you fix only one screen, fix the Annual Revenue question — it leaks the most.”</w:t>
            </w:r>
          </w:p>
        </w:tc>
      </w:tr>
      <w:tr>
        <w:tc>
          <w:tcPr>
            <w:tcW w:type="dxa" w:w="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4</w:t>
            </w:r>
          </w:p>
        </w:tc>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Exhibit 2 — the revenue question (3 cards)</w:t>
            </w:r>
          </w:p>
        </w:tc>
        <w:tc>
          <w:tcPr>
            <w:tcW w:type="dxa" w:w="1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~35% capped</w:t>
            </w:r>
          </w:p>
        </w:tc>
        <w:tc>
          <w:tcPr>
            <w:tcW w:type="dxa" w:w="47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revenue question is both our biggest leak and the eligibility gate — and ~35% of finishers get declined for being over $2M only at the very end.”</w:t>
            </w:r>
          </w:p>
        </w:tc>
      </w:tr>
      <w:tr>
        <w:tc>
          <w:tcPr>
            <w:tcW w:type="dxa" w:w="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5</w:t>
            </w:r>
          </w:p>
        </w:tc>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Exhibit 3 — zombies (finding/cause)</w:t>
            </w:r>
          </w:p>
        </w:tc>
        <w:tc>
          <w:tcPr>
            <w:tcW w:type="dxa" w:w="1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~1,000 / ~$10.4M</w:t>
            </w:r>
          </w:p>
        </w:tc>
        <w:tc>
          <w:tcPr>
            <w:tcW w:type="dxa" w:w="47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“Even finishing isn't safety — ~1,000 completed quotes never price because the address lookup failed, not because we declined them.”</w:t>
            </w:r>
          </w:p>
        </w:tc>
      </w:tr>
      <w:tr>
        <w:tc>
          <w:tcPr>
            <w:tcW w:type="dxa" w:w="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6</w:t>
            </w:r>
          </w:p>
        </w:tc>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Exhibit 4 — value ($30.9M vs $23.1M)</w:t>
            </w:r>
          </w:p>
        </w:tc>
        <w:tc>
          <w:tcPr>
            <w:tcW w:type="dxa" w:w="1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$30.9M</w:t>
            </w:r>
          </w:p>
        </w:tc>
        <w:tc>
          <w:tcPr>
            <w:tcW w:type="dxa" w:w="47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“There's more potential premium abandoned in the funnel than we currently book — this is the biggest lever in the data.”</w:t>
            </w:r>
          </w:p>
        </w:tc>
      </w:tr>
      <w:tr>
        <w:tc>
          <w:tcPr>
            <w:tcW w:type="dxa" w:w="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7</w:t>
            </w:r>
          </w:p>
        </w:tc>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Recommendations (3 moves)</w:t>
            </w:r>
          </w:p>
        </w:tc>
        <w:tc>
          <w:tcPr>
            <w:tcW w:type="dxa" w:w="1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1 · 2 · 3</w:t>
            </w:r>
          </w:p>
        </w:tc>
        <w:tc>
          <w:tcPr>
            <w:tcW w:type="dxa" w:w="47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“Split the revenue question — eligibility gate up front — fix the address lookup to kill the zombies, then A/B test the lift.”</w:t>
            </w:r>
          </w:p>
        </w:tc>
      </w:tr>
      <w:tr>
        <w:tc>
          <w:tcPr>
            <w:tcW w:type="dxa" w:w="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8</w:t>
            </w:r>
          </w:p>
        </w:tc>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Thank you</w:t>
            </w:r>
          </w:p>
        </w:tc>
        <w:tc>
          <w:tcPr>
            <w:tcW w:type="dxa" w:w="1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w:t>
            </w:r>
          </w:p>
        </w:tc>
        <w:tc>
          <w:tcPr>
            <w:tcW w:type="dxa" w:w="47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Close; invite questions.</w:t>
            </w:r>
          </w:p>
        </w:tc>
      </w:tr>
    </w:tbl>
    <w:p>
      <w:pPr>
        <w:pStyle w:val="Heading2"/>
      </w:pPr>
      <w:r>
        <w:t xml:space="preserve">7.1  Delivery notes</w:t>
      </w:r>
    </w:p>
    <w:p>
      <w:pPr>
        <w:spacing w:after="130" w:line="278"/>
      </w:pPr>
      <w:r>
        <w:t xml:space="preserve">Target ~6 minutes, roughly 45 seconds per slide. Lead with the problem, spend the most time on Exhibits 1 and 4 (the two charts), keep the zombie slide tight, and land firmly on the recommendations. If someone asks for the one number to remember: </w:t>
      </w:r>
      <w:r>
        <w:rPr>
          <w:b/>
          <w:bCs/>
        </w:rPr>
        <w:t xml:space="preserve">one in three abandon, and the biggest single leak is the revenue question.</w:t>
      </w:r>
    </w:p>
    <w:p>
      <w:r>
        <w:br w:type="page"/>
      </w:r>
    </w:p>
    <w:p>
      <w:pPr>
        <w:pStyle w:val="Heading1"/>
        <w:pBdr>
          <w:bottom w:val="single" w:color="F0B49A" w:sz="6" w:space="6"/>
        </w:pBdr>
      </w:pPr>
      <w:r>
        <w:t xml:space="preserve">Part 8 — Methodology: how each number was derived</w:t>
      </w:r>
    </w:p>
    <w:p>
      <w:pPr>
        <w:spacing w:after="130" w:line="278"/>
      </w:pPr>
      <w:r>
        <w:t xml:space="preserve">If you can reproduce these, you can defend them. Each figure is a simple, explainable calculation.</w:t>
      </w:r>
    </w:p>
    <w:p>
      <w:pPr>
        <w:pStyle w:val="ListParagraph"/>
        <w:numPr>
          <w:ilvl w:val="0"/>
          <w:numId w:val="2"/>
        </w:numPr>
        <w:spacing w:after="70" w:line="274"/>
      </w:pPr>
      <w:r>
        <w:rPr>
          <w:b/>
          <w:bCs/>
        </w:rPr>
        <w:t xml:space="preserve">Completion rate (67.0%) </w:t>
      </w:r>
      <w:r>
        <w:t xml:space="preserve">= count(incomplete_stage = “complete quote”) ÷ 9,817 = 6,578 ÷ 9,817.</w:t>
      </w:r>
    </w:p>
    <w:p>
      <w:pPr>
        <w:pStyle w:val="ListParagraph"/>
        <w:numPr>
          <w:ilvl w:val="0"/>
          <w:numId w:val="2"/>
        </w:numPr>
        <w:spacing w:after="70" w:line="274"/>
      </w:pPr>
      <w:r>
        <w:rPr>
          <w:b/>
          <w:bCs/>
        </w:rPr>
        <w:t xml:space="preserve">Abandoners (3,239) </w:t>
      </w:r>
      <w:r>
        <w:t xml:space="preserve">= 9,817 − 6,578 = the sum of all nine “stop at stage” counts.</w:t>
      </w:r>
    </w:p>
    <w:p>
      <w:pPr>
        <w:pStyle w:val="ListParagraph"/>
        <w:numPr>
          <w:ilvl w:val="0"/>
          <w:numId w:val="2"/>
        </w:numPr>
        <w:spacing w:after="70" w:line="274"/>
      </w:pPr>
      <w:r>
        <w:rPr>
          <w:b/>
          <w:bCs/>
        </w:rPr>
        <w:t xml:space="preserve">Drop-off by stage </w:t>
      </w:r>
      <w:r>
        <w:t xml:space="preserve">= a count (pivot / GROUP BY) of incomplete_stage for each “stop at stage N” value.</w:t>
      </w:r>
    </w:p>
    <w:p>
      <w:pPr>
        <w:pStyle w:val="ListParagraph"/>
        <w:numPr>
          <w:ilvl w:val="0"/>
          <w:numId w:val="2"/>
        </w:numPr>
        <w:spacing w:after="70" w:line="274"/>
      </w:pPr>
      <w:r>
        <w:rPr>
          <w:b/>
          <w:bCs/>
        </w:rPr>
        <w:t xml:space="preserve">Total premium ($23.08M) </w:t>
      </w:r>
      <w:r>
        <w:t xml:space="preserve">= SUM(Total Premium) over all rows (only the 2,419 priced rows contribute anything).</w:t>
      </w:r>
    </w:p>
    <w:p>
      <w:pPr>
        <w:pStyle w:val="ListParagraph"/>
        <w:numPr>
          <w:ilvl w:val="0"/>
          <w:numId w:val="2"/>
        </w:numPr>
        <w:spacing w:after="70" w:line="274"/>
      </w:pPr>
      <w:r>
        <w:rPr>
          <w:b/>
          <w:bCs/>
        </w:rPr>
        <w:t xml:space="preserve">Average premium ($9,541.57) </w:t>
      </w:r>
      <w:r>
        <w:t xml:space="preserve">= MEAN(Total Premium) over rows where Total Premium &gt; 0 — i.e., the 2,419 priced quotes.</w:t>
      </w:r>
    </w:p>
    <w:p>
      <w:pPr>
        <w:pStyle w:val="ListParagraph"/>
        <w:numPr>
          <w:ilvl w:val="0"/>
          <w:numId w:val="2"/>
        </w:numPr>
        <w:spacing w:after="70" w:line="274"/>
      </w:pPr>
      <w:r>
        <w:rPr>
          <w:b/>
          <w:bCs/>
        </w:rPr>
        <w:t xml:space="preserve">Funnel value ($30.9M) </w:t>
      </w:r>
      <w:r>
        <w:t xml:space="preserve">= 3,239 abandoned × $9,541.57 average premium.</w:t>
      </w:r>
    </w:p>
    <w:p>
      <w:pPr>
        <w:pStyle w:val="ListParagraph"/>
        <w:numPr>
          <w:ilvl w:val="0"/>
          <w:numId w:val="2"/>
        </w:numPr>
        <w:spacing w:after="70" w:line="274"/>
      </w:pPr>
      <w:r>
        <w:rPr>
          <w:b/>
          <w:bCs/>
        </w:rPr>
        <w:t xml:space="preserve">Rejection rate (50.4%) </w:t>
      </w:r>
      <w:r>
        <w:t xml:space="preserve">= rejected (2,767) ÷ decisioned (2,767 + 2,725 = 5,492). The denominator is quotes with a non-blank rejection field.</w:t>
      </w:r>
    </w:p>
    <w:p>
      <w:pPr>
        <w:pStyle w:val="ListParagraph"/>
        <w:numPr>
          <w:ilvl w:val="0"/>
          <w:numId w:val="2"/>
        </w:numPr>
        <w:spacing w:after="70" w:line="274"/>
      </w:pPr>
      <w:r>
        <w:rPr>
          <w:b/>
          <w:bCs/>
        </w:rPr>
        <w:t xml:space="preserve">$2M revenue cap (2,293) </w:t>
      </w:r>
      <w:r>
        <w:t xml:space="preserve">= rejections whose log includes a revenue reason — 82.9% of the 2,767 rejections, all on completed quotes (34.9% of completers, 41.8% of decisioned).</w:t>
      </w:r>
    </w:p>
    <w:p>
      <w:pPr>
        <w:pStyle w:val="ListParagraph"/>
        <w:numPr>
          <w:ilvl w:val="0"/>
          <w:numId w:val="2"/>
        </w:numPr>
        <w:spacing w:after="70" w:line="274"/>
      </w:pPr>
      <w:r>
        <w:rPr>
          <w:b/>
          <w:bCs/>
        </w:rPr>
        <w:t xml:space="preserve">Zombie count (~1,086) and value (~$10.36M) </w:t>
      </w:r>
      <w:r>
        <w:t xml:space="preserve">= [completed (6,578) − decisioned (5,492)], then × $9,541.57.</w:t>
      </w:r>
    </w:p>
    <w:p>
      <w:pPr>
        <w:pStyle w:val="ListParagraph"/>
        <w:numPr>
          <w:ilvl w:val="0"/>
          <w:numId w:val="2"/>
        </w:numPr>
        <w:spacing w:after="70" w:line="274"/>
      </w:pPr>
      <w:r>
        <w:rPr>
          <w:b/>
          <w:bCs/>
        </w:rPr>
        <w:t xml:space="preserve">Techniques used: </w:t>
      </w:r>
      <w:r>
        <w:t xml:space="preserve">pivot tables / GROUP BY for stage and category counts; SUM and AVERAGE with a “&gt; 0” filter for premium; NTILE / quartiles for the top-10% and 80%-of-revenue cuts; correlation for the earthquake-vs-flood and premium-vs-completion checks.</w:t>
      </w:r>
    </w:p>
    <w:p>
      <w:pPr>
        <w:spacing w:after="40"/>
      </w:pPr>
      <w:r>
        <w:t xml:space="preserve"/>
      </w:r>
    </w:p>
    <w:p>
      <w:pPr>
        <w:pStyle w:val="Heading2"/>
      </w:pPr>
      <w:r>
        <w:t xml:space="preserve">8.1  The cohort chain — memorize this one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500"/>
        <w:gridCol w:w="4810"/>
      </w:tblGrid>
      <w:tr>
        <w:trPr>
          <w:tblHeader/>
        </w:trPr>
        <w:tc>
          <w:tcPr>
            <w:tcW w:type="dxa" w:w="305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Cohort</w:t>
            </w:r>
          </w:p>
        </w:tc>
        <w:tc>
          <w:tcPr>
            <w:tcW w:type="dxa" w:w="15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Count</w:t>
            </w:r>
          </w:p>
        </w:tc>
        <w:tc>
          <w:tcPr>
            <w:tcW w:type="dxa" w:w="481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What it means</w:t>
            </w:r>
          </w:p>
        </w:tc>
      </w:tr>
      <w:tr>
        <w:tc>
          <w:tcPr>
            <w:tcW w:type="dxa" w:w="305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All quote attempts</w:t>
            </w:r>
          </w:p>
        </w:tc>
        <w:tc>
          <w:tcPr>
            <w:tcW w:type="dxa" w:w="1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9,817</w:t>
            </w:r>
          </w:p>
        </w:tc>
        <w:tc>
          <w:tcPr>
            <w:tcW w:type="dxa" w:w="481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Every row; the only denominator that covers everyone.</w:t>
            </w:r>
          </w:p>
        </w:tc>
      </w:tr>
      <w:tr>
        <w:tc>
          <w:tcPr>
            <w:tcW w:type="dxa" w:w="305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 Complete quote</w:t>
            </w:r>
          </w:p>
        </w:tc>
        <w:tc>
          <w:tcPr>
            <w:tcW w:type="dxa" w:w="1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6,578 (67%)</w:t>
            </w:r>
          </w:p>
        </w:tc>
        <w:tc>
          <w:tcPr>
            <w:tcW w:type="dxa" w:w="481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Answered all nine questions.</w:t>
            </w:r>
          </w:p>
        </w:tc>
      </w:tr>
      <w:tr>
        <w:tc>
          <w:tcPr>
            <w:tcW w:type="dxa" w:w="305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    → Decisioned</w:t>
            </w:r>
          </w:p>
        </w:tc>
        <w:tc>
          <w:tcPr>
            <w:tcW w:type="dxa" w:w="1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5,492</w:t>
            </w:r>
          </w:p>
        </w:tc>
        <w:tc>
          <w:tcPr>
            <w:tcW w:type="dxa" w:w="481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Underwriting returned a verdict.</w:t>
            </w:r>
          </w:p>
        </w:tc>
      </w:tr>
      <w:tr>
        <w:tc>
          <w:tcPr>
            <w:tcW w:type="dxa" w:w="305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         → Accepted</w:t>
            </w:r>
          </w:p>
        </w:tc>
        <w:tc>
          <w:tcPr>
            <w:tcW w:type="dxa" w:w="1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2,725</w:t>
            </w:r>
          </w:p>
        </w:tc>
        <w:tc>
          <w:tcPr>
            <w:tcW w:type="dxa" w:w="481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Approved (2,419 of these are fully priced).</w:t>
            </w:r>
          </w:p>
        </w:tc>
      </w:tr>
      <w:tr>
        <w:tc>
          <w:tcPr>
            <w:tcW w:type="dxa" w:w="305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         → Rejected</w:t>
            </w:r>
          </w:p>
        </w:tc>
        <w:tc>
          <w:tcPr>
            <w:tcW w:type="dxa" w:w="1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2,767</w:t>
            </w:r>
          </w:p>
        </w:tc>
        <w:tc>
          <w:tcPr>
            <w:tcW w:type="dxa" w:w="481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Declined; $0 premium by definition.</w:t>
            </w:r>
          </w:p>
        </w:tc>
      </w:tr>
      <w:tr>
        <w:tc>
          <w:tcPr>
            <w:tcW w:type="dxa" w:w="305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              · &gt;$2M revenue cap</w:t>
            </w:r>
          </w:p>
        </w:tc>
        <w:tc>
          <w:tcPr>
            <w:tcW w:type="dxa" w:w="1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2,293</w:t>
            </w:r>
          </w:p>
        </w:tc>
        <w:tc>
          <w:tcPr>
            <w:tcW w:type="dxa" w:w="481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82.9% of rejections — the dominant decline reason.</w:t>
            </w:r>
          </w:p>
        </w:tc>
      </w:tr>
      <w:tr>
        <w:tc>
          <w:tcPr>
            <w:tcW w:type="dxa" w:w="305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              · other (FUS, alerts)</w:t>
            </w:r>
          </w:p>
        </w:tc>
        <w:tc>
          <w:tcPr>
            <w:tcW w:type="dxa" w:w="1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474</w:t>
            </w:r>
          </w:p>
        </w:tc>
        <w:tc>
          <w:tcPr>
            <w:tcW w:type="dxa" w:w="481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remaining ~17% of rejections.</w:t>
            </w:r>
          </w:p>
        </w:tc>
      </w:tr>
      <w:tr>
        <w:tc>
          <w:tcPr>
            <w:tcW w:type="dxa" w:w="305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    → Zombie (no decision)</w:t>
            </w:r>
          </w:p>
        </w:tc>
        <w:tc>
          <w:tcPr>
            <w:tcW w:type="dxa" w:w="1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jc w:val="center"/>
            </w:pPr>
            <w:r>
              <w:rPr>
                <w:b w:val="false"/>
                <w:bCs w:val="false"/>
                <w:sz w:val="20"/>
                <w:szCs w:val="20"/>
              </w:rPr>
              <w:t xml:space="preserve">≈1,086</w:t>
            </w:r>
          </w:p>
        </w:tc>
        <w:tc>
          <w:tcPr>
            <w:tcW w:type="dxa" w:w="481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Completed but never priced (~$10.4M, est.) — a lookup failure.</w:t>
            </w:r>
          </w:p>
        </w:tc>
      </w:tr>
      <w:tr>
        <w:tc>
          <w:tcPr>
            <w:tcW w:type="dxa" w:w="305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 Abandoned</w:t>
            </w:r>
          </w:p>
        </w:tc>
        <w:tc>
          <w:tcPr>
            <w:tcW w:type="dxa" w:w="1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jc w:val="center"/>
            </w:pPr>
            <w:r>
              <w:rPr>
                <w:b w:val="false"/>
                <w:bCs w:val="false"/>
                <w:sz w:val="20"/>
                <w:szCs w:val="20"/>
              </w:rPr>
              <w:t xml:space="preserve">3,239 (33%)</w:t>
            </w:r>
          </w:p>
        </w:tc>
        <w:tc>
          <w:tcPr>
            <w:tcW w:type="dxa" w:w="481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Left before completing (~$30.9M potential, est.).</w:t>
            </w:r>
          </w:p>
        </w:tc>
      </w:tr>
    </w:tbl>
    <w:p>
      <w:pPr>
        <w:spacing w:after="60" w:line="278"/>
      </w:pPr>
      <w:r>
        <w:t xml:space="preserve">A useful sanity note: 2,725 accepted vs 2,419 fully priced leaves a small gap of ~306 accepted-but-unpriced quotes — a minor data quirk worth acknowledging if pressed, separate from the zombie cohort.</w:t>
      </w:r>
    </w:p>
    <w:p>
      <w:r>
        <w:br w:type="page"/>
      </w:r>
    </w:p>
    <w:p>
      <w:pPr>
        <w:pStyle w:val="Heading1"/>
        <w:pBdr>
          <w:bottom w:val="single" w:color="F0B49A" w:sz="6" w:space="6"/>
        </w:pBdr>
      </w:pPr>
      <w:r>
        <w:t xml:space="preserve">Part 9 — Caveats and honest limitations</w:t>
      </w:r>
    </w:p>
    <w:p>
      <w:pPr>
        <w:spacing w:after="130" w:line="278"/>
      </w:pPr>
      <w:r>
        <w:t xml:space="preserve">Saying these before anyone asks signals maturity and protects your credibility.</w:t>
      </w:r>
    </w:p>
    <w:p>
      <w:pPr>
        <w:pStyle w:val="ListParagraph"/>
        <w:numPr>
          <w:ilvl w:val="0"/>
          <w:numId w:val="2"/>
        </w:numPr>
        <w:spacing w:after="70" w:line="274"/>
      </w:pPr>
      <w:r>
        <w:rPr>
          <w:b/>
          <w:bCs/>
        </w:rPr>
        <w:t xml:space="preserve">The zombie and $30.9M figures are estimates. </w:t>
      </w:r>
      <w:r>
        <w:t xml:space="preserve">They rest on the average-premium assumption and on the zombie definition; abandoned quotes might not all convert at the average.</w:t>
      </w:r>
    </w:p>
    <w:p>
      <w:pPr>
        <w:pStyle w:val="ListParagraph"/>
        <w:numPr>
          <w:ilvl w:val="0"/>
          <w:numId w:val="2"/>
        </w:numPr>
        <w:spacing w:after="70" w:line="274"/>
      </w:pPr>
      <w:r>
        <w:rPr>
          <w:b/>
          <w:bCs/>
        </w:rPr>
        <w:t xml:space="preserve">Two leaks are not additive. </w:t>
      </w:r>
      <w:r>
        <w:t xml:space="preserve">The $30.9M (abandoned) and $10.4M (zombie) are different cohorts — do not sum them into one headline.</w:t>
      </w:r>
    </w:p>
    <w:p>
      <w:pPr>
        <w:pStyle w:val="ListParagraph"/>
        <w:numPr>
          <w:ilvl w:val="0"/>
          <w:numId w:val="2"/>
        </w:numPr>
        <w:spacing w:after="70" w:line="274"/>
      </w:pPr>
      <w:r>
        <w:rPr>
          <w:b/>
          <w:bCs/>
        </w:rPr>
        <w:t xml:space="preserve">The $30.9M is before eligibility. </w:t>
      </w:r>
      <w:r>
        <w:t xml:space="preserve">Some abandoners would themselves be over the $2M cap and never convert, so the genuinely recoverable share is smaller than the headline — another reason to treat it as a sized opportunity, not a target.</w:t>
      </w:r>
    </w:p>
    <w:p>
      <w:pPr>
        <w:pStyle w:val="ListParagraph"/>
        <w:numPr>
          <w:ilvl w:val="0"/>
          <w:numId w:val="2"/>
        </w:numPr>
        <w:spacing w:after="70" w:line="274"/>
      </w:pPr>
      <w:r>
        <w:rPr>
          <w:b/>
          <w:bCs/>
        </w:rPr>
        <w:t xml:space="preserve">Geography. </w:t>
      </w:r>
      <w:r>
        <w:t xml:space="preserve">With ~90% of rows in Ontario, the conclusions are really “Ontario conclusions.”</w:t>
      </w:r>
    </w:p>
    <w:p>
      <w:pPr>
        <w:pStyle w:val="ListParagraph"/>
        <w:numPr>
          <w:ilvl w:val="0"/>
          <w:numId w:val="2"/>
        </w:numPr>
        <w:spacing w:after="70" w:line="274"/>
      </w:pPr>
      <w:r>
        <w:rPr>
          <w:b/>
          <w:bCs/>
        </w:rPr>
        <w:t xml:space="preserve">Hashed emails. </w:t>
      </w:r>
      <w:r>
        <w:t xml:space="preserve">Any email-domain analysis is impossible; several questions are correctly marked “cannot be measured.”</w:t>
      </w:r>
    </w:p>
    <w:p>
      <w:pPr>
        <w:pStyle w:val="ListParagraph"/>
        <w:numPr>
          <w:ilvl w:val="0"/>
          <w:numId w:val="2"/>
        </w:numPr>
        <w:spacing w:after="70" w:line="274"/>
      </w:pPr>
      <w:r>
        <w:rPr>
          <w:b/>
          <w:bCs/>
        </w:rPr>
        <w:t xml:space="preserve">Synthetic data. </w:t>
      </w:r>
      <w:r>
        <w:t xml:space="preserve">Relationships are cleaner than reality (every alert leads to a rejection). Treat the patterns as directional.</w:t>
      </w:r>
    </w:p>
    <w:p>
      <w:pPr>
        <w:pStyle w:val="ListParagraph"/>
        <w:numPr>
          <w:ilvl w:val="0"/>
          <w:numId w:val="2"/>
        </w:numPr>
        <w:spacing w:after="70" w:line="274"/>
      </w:pPr>
      <w:r>
        <w:rPr>
          <w:b/>
          <w:bCs/>
        </w:rPr>
        <w:t xml:space="preserve">Correlation is not causation. </w:t>
      </w:r>
      <w:r>
        <w:t xml:space="preserve">“The revenue question causes the Stage-2 drop-off” is well-supported (see 5.7) but not proven — we have no revenue for the abandoners, so a test is what confirms it. That is exactly why “re-test and measure” is a recommendation.</w:t>
      </w:r>
    </w:p>
    <w:p>
      <w:r>
        <w:br w:type="page"/>
      </w:r>
    </w:p>
    <w:p>
      <w:pPr>
        <w:pStyle w:val="Heading1"/>
        <w:pBdr>
          <w:bottom w:val="single" w:color="F0B49A" w:sz="6" w:space="6"/>
        </w:pBdr>
      </w:pPr>
      <w:r>
        <w:t xml:space="preserve">Part 10 — Anticipated questions and answers</w:t>
      </w:r>
    </w:p>
    <w:p>
      <w:pPr>
        <w:spacing w:after="30" w:before="80"/>
      </w:pPr>
      <w:r>
        <w:rPr>
          <w:b/>
          <w:bCs/>
        </w:rPr>
        <w:t xml:space="preserve">Q.  </w:t>
      </w:r>
      <w:r>
        <w:rPr>
          <w:b/>
          <w:bCs/>
        </w:rPr>
        <w:t xml:space="preserve">Why did you choose the funnel over premium or rejections?</w:t>
      </w:r>
    </w:p>
    <w:p>
      <w:pPr>
        <w:spacing w:after="120" w:line="278"/>
      </w:pPr>
      <w:r>
        <w:t xml:space="preserve">A.  </w:t>
      </w:r>
      <w:r>
        <w:t xml:space="preserve">It has the clearest what/why/so-what, the most visual exhibit, and a low-risk recommendation. The premium story overlaps heavily with the zombie finding, and the rejection story's natural recommendation — loosening underwriting — is a risk decision, not a clean win.</w:t>
      </w:r>
    </w:p>
    <w:p>
      <w:pPr>
        <w:spacing w:after="30" w:before="80"/>
      </w:pPr>
      <w:r>
        <w:rPr>
          <w:b/>
          <w:bCs/>
        </w:rPr>
        <w:t xml:space="preserve">Q.  </w:t>
      </w:r>
      <w:r>
        <w:rPr>
          <w:b/>
          <w:bCs/>
        </w:rPr>
        <w:t xml:space="preserve">How confident are you in the $30.9M?</w:t>
      </w:r>
    </w:p>
    <w:p>
      <w:pPr>
        <w:spacing w:after="120" w:line="278"/>
      </w:pPr>
      <w:r>
        <w:t xml:space="preserve">A.  </w:t>
      </w:r>
      <w:r>
        <w:t xml:space="preserve">The abandoner count (3,239) is exact. The $30.9M assumes those quotes would price at the $9,541 average, so I present it as a sized opportunity, not booked revenue.</w:t>
      </w:r>
    </w:p>
    <w:p>
      <w:pPr>
        <w:spacing w:after="30" w:before="80"/>
      </w:pPr>
      <w:r>
        <w:rPr>
          <w:b/>
          <w:bCs/>
        </w:rPr>
        <w:t xml:space="preserve">Q.  </w:t>
      </w:r>
      <w:r>
        <w:rPr>
          <w:b/>
          <w:bCs/>
        </w:rPr>
        <w:t xml:space="preserve">What exactly is a zombie quote?</w:t>
      </w:r>
    </w:p>
    <w:p>
      <w:pPr>
        <w:spacing w:after="120" w:line="278"/>
      </w:pPr>
      <w:r>
        <w:t xml:space="preserve">A.  </w:t>
      </w:r>
      <w:r>
        <w:t xml:space="preserve">A completed quote with no underwriting decision and no premium — about 1,086 of them. The cause is a failed address/business lookup (most have no map link and no category), so pricing never runs. It is not a decline.</w:t>
      </w:r>
    </w:p>
    <w:p>
      <w:pPr>
        <w:spacing w:after="30" w:before="80"/>
      </w:pPr>
      <w:r>
        <w:rPr>
          <w:b/>
          <w:bCs/>
        </w:rPr>
        <w:t xml:space="preserve">Q.  </w:t>
      </w:r>
      <w:r>
        <w:rPr>
          <w:b/>
          <w:bCs/>
        </w:rPr>
        <w:t xml:space="preserve">Isn't a 50% rejection rate alarming?</w:t>
      </w:r>
    </w:p>
    <w:p>
      <w:pPr>
        <w:spacing w:after="120" w:line="278"/>
      </w:pPr>
      <w:r>
        <w:t xml:space="preserve">A.  </w:t>
      </w:r>
      <w:r>
        <w:t xml:space="preserve">It is high, but it is measured among decisioned quotes, and the biggest single driver is the $2M revenue cap (82.9% of rejections) — Supernova simply does not write businesses that large. The rest is hard signals like FUS Grade 10. The bigger opportunity is the people we never even decision, because they abandon first.</w:t>
      </w:r>
    </w:p>
    <w:p>
      <w:pPr>
        <w:spacing w:after="30" w:before="80"/>
      </w:pPr>
      <w:r>
        <w:rPr>
          <w:b/>
          <w:bCs/>
        </w:rPr>
        <w:t xml:space="preserve">Q.  </w:t>
      </w:r>
      <w:r>
        <w:rPr>
          <w:b/>
          <w:bCs/>
        </w:rPr>
        <w:t xml:space="preserve">Why the revenue question specifically, and not just “the first screen”?</w:t>
      </w:r>
    </w:p>
    <w:p>
      <w:pPr>
        <w:spacing w:after="120" w:line="278"/>
      </w:pPr>
      <w:r>
        <w:t xml:space="preserve">A.  </w:t>
      </w:r>
      <w:r>
        <w:t xml:space="preserve">Stage 1 also leaks (451), but Stage 2 leaks the most (600). And it is unlikely to be big businesses self-selecting out: firms over $2M are ~35% of completers (so they push through, not quit there), and the cap is applied silently only at the end (so no one could quit at Stage 2 because of it). That points at the question itself being a friction point — confirmed by a test.</w:t>
      </w:r>
    </w:p>
    <w:p>
      <w:pPr>
        <w:spacing w:after="30" w:before="80"/>
      </w:pPr>
      <w:r>
        <w:rPr>
          <w:b/>
          <w:bCs/>
        </w:rPr>
        <w:t xml:space="preserve">Q.  </w:t>
      </w:r>
      <w:r>
        <w:rPr>
          <w:b/>
          <w:bCs/>
        </w:rPr>
        <w:t xml:space="preserve">Doesn't the $2M cap just explain the Stage-2 drop-off?</w:t>
      </w:r>
    </w:p>
    <w:p>
      <w:pPr>
        <w:spacing w:after="120" w:line="278"/>
      </w:pPr>
      <w:r>
        <w:t xml:space="preserve">A.  </w:t>
      </w:r>
      <w:r>
        <w:t xml:space="preserve">It is the right thing to check, and the answer is no. The cap is applied silently at the very end — all 2,293 cap rejections are completed quotes, none before completion — so a business cannot leave at Stage 2 over a rule it never sees. And &gt;$2M firms are ~35% of completers, so they clearly do not quit at the revenue question. The cap explains rejections, not the Stage-2 abandonment.</w:t>
      </w:r>
    </w:p>
    <w:p>
      <w:pPr>
        <w:spacing w:after="30" w:before="80"/>
      </w:pPr>
      <w:r>
        <w:rPr>
          <w:b/>
          <w:bCs/>
        </w:rPr>
        <w:t xml:space="preserve">Q.  </w:t>
      </w:r>
      <w:r>
        <w:rPr>
          <w:b/>
          <w:bCs/>
        </w:rPr>
        <w:t xml:space="preserve">What would you do first?</w:t>
      </w:r>
    </w:p>
    <w:p>
      <w:pPr>
        <w:spacing w:after="120" w:line="278"/>
      </w:pPr>
      <w:r>
        <w:t xml:space="preserve">A.  </w:t>
      </w:r>
      <w:r>
        <w:t xml:space="preserve">Split the revenue question — add a quick eligibility check up front so &gt;$2M firms self-select out, and keep the detailed revenue where rating needs it. In parallel, fix the address/Place-ID lookup to eliminate the ghost quotes. Then A/B test and measure completion and priced-quote rates.</w:t>
      </w:r>
    </w:p>
    <w:p>
      <w:pPr>
        <w:spacing w:after="30" w:before="80"/>
      </w:pPr>
      <w:r>
        <w:rPr>
          <w:b/>
          <w:bCs/>
        </w:rPr>
        <w:t xml:space="preserve">Q.  </w:t>
      </w:r>
      <w:r>
        <w:rPr>
          <w:b/>
          <w:bCs/>
        </w:rPr>
        <w:t xml:space="preserve">Why not just accept FUS 9 to win 724 quotes?</w:t>
      </w:r>
    </w:p>
    <w:p>
      <w:pPr>
        <w:spacing w:after="120" w:line="278"/>
      </w:pPr>
      <w:r>
        <w:t xml:space="preserve">A.  </w:t>
      </w:r>
      <w:r>
        <w:t xml:space="preserve">That is a real lever, but it loosens underwriting on the worst fire risk. It is a risk-appetite decision for underwriting leadership, not a free win, so it sits outside this UX-focused recommendation.</w:t>
      </w:r>
    </w:p>
    <w:p>
      <w:pPr>
        <w:spacing w:after="30" w:before="80"/>
      </w:pPr>
      <w:r>
        <w:rPr>
          <w:b/>
          <w:bCs/>
        </w:rPr>
        <w:t xml:space="preserve">Q.  </w:t>
      </w:r>
      <w:r>
        <w:rPr>
          <w:b/>
          <w:bCs/>
        </w:rPr>
        <w:t xml:space="preserve">What data would make this analysis stronger?</w:t>
      </w:r>
    </w:p>
    <w:p>
      <w:pPr>
        <w:spacing w:after="120" w:line="278"/>
      </w:pPr>
      <w:r>
        <w:t xml:space="preserve">A.  </w:t>
      </w:r>
      <w:r>
        <w:t xml:space="preserve">Timestamps (to see funnel timing and trends), an actual A/B test of question order, un-hashed or domain-tagged emails, and a cleaned province/category field.</w:t>
      </w:r>
    </w:p>
    <w:p>
      <w:r>
        <w:br w:type="page"/>
      </w:r>
    </w:p>
    <w:p>
      <w:pPr>
        <w:pStyle w:val="Heading1"/>
        <w:pBdr>
          <w:bottom w:val="single" w:color="F0B49A" w:sz="6" w:space="6"/>
        </w:pBdr>
      </w:pPr>
      <w:r>
        <w:t xml:space="preserve">Part 11 — Key numbers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560"/>
        <w:gridCol w:w="3500"/>
      </w:tblGrid>
      <w:tr>
        <w:trPr>
          <w:tblHeader/>
        </w:trPr>
        <w:tc>
          <w:tcPr>
            <w:tcW w:type="dxa" w:w="33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Metric</w:t>
            </w:r>
          </w:p>
        </w:tc>
        <w:tc>
          <w:tcPr>
            <w:tcW w:type="dxa" w:w="256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Value</w:t>
            </w:r>
          </w:p>
        </w:tc>
        <w:tc>
          <w:tcPr>
            <w:tcW w:type="dxa" w:w="35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Basis / denominator</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Quote attempts (rows)</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9,817</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All records</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Completion rate</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67.0%</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6,578 ÷ 9,817</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Abandoned quotes</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3,239 (33%)</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9,817 − 6,578</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Biggest drop-off</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Stage 2 — Annual Revenue</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600 applicants</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2nd / 3rd drops</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Contents 575 · Location 451</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by stage count</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Total premium captured</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$23,081,048</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SUM(Total Premium)</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Average premium</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$9,541.57</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mean over 2,419 priced quotes</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Median premium</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$9,665.48</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priced quotes</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Priced quotes</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2,419</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Total Premium &gt; 0</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Funnel value (potential)</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~$30.9M (est.)</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3,239 × $9,541.57</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Revenue per risk</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$2,351</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Total Premium ÷ 9,817</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Rejection rate</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50.4%</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2,767 ÷ 5,492 decisioned</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$2M revenue cap rejections</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2,293</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82.9% of all rejections</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Completers declined by cap</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34.9%</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2,293 ÷ 6,578 (41.8% of decisioned)</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Rejected / Accepted</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2,767 / 2,725</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decisioned quotes</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FUS Grade 10</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743, all rejected</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0 accepted</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Accept FUS 9 → win</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~724 quotes</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scenario</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Zombie quotes</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≈1,086 (est.)</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completed − decisioned</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Zombie value</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~$10.36M (est.)</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zombie count × avg premium</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Duplicate emails</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1,305</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repeat hashed emails</w:t>
            </w:r>
          </w:p>
        </w:tc>
      </w:tr>
      <w:tr>
        <w:tc>
          <w:tcPr>
            <w:tcW w:type="dxa" w:w="33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Duplicate completion</w:t>
            </w:r>
          </w:p>
        </w:tc>
        <w:tc>
          <w:tcPr>
            <w:tcW w:type="dxa" w:w="25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~34.8%</w:t>
            </w:r>
          </w:p>
        </w:tc>
        <w:tc>
          <w:tcPr>
            <w:tcW w:type="dxa" w:w="35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vs 67% baseline</w:t>
            </w:r>
          </w:p>
        </w:tc>
      </w:tr>
      <w:tr>
        <w:tc>
          <w:tcPr>
            <w:tcW w:type="dxa" w:w="33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Ontario share</w:t>
            </w:r>
          </w:p>
        </w:tc>
        <w:tc>
          <w:tcPr>
            <w:tcW w:type="dxa" w:w="25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~90%</w:t>
            </w:r>
          </w:p>
        </w:tc>
        <w:tc>
          <w:tcPr>
            <w:tcW w:type="dxa" w:w="35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8,881 ÷ 9,817</w:t>
            </w:r>
          </w:p>
        </w:tc>
      </w:tr>
    </w:tbl>
    <w:p>
      <w:r>
        <w:br w:type="page"/>
      </w:r>
    </w:p>
    <w:p>
      <w:pPr>
        <w:pStyle w:val="Heading1"/>
        <w:pBdr>
          <w:bottom w:val="single" w:color="F0B49A" w:sz="6" w:space="6"/>
        </w:pBdr>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Term</w:t>
            </w:r>
          </w:p>
        </w:tc>
        <w:tc>
          <w:tcPr>
            <w:tcW w:type="dxa" w:w="6760"/>
            <w:tcBorders>
              <w:top w:val="single" w:color="D8D2CC" w:sz="1"/>
              <w:left w:val="single" w:color="D8D2CC" w:sz="1"/>
              <w:bottom w:val="single" w:color="D8D2CC" w:sz="1"/>
              <w:right w:val="single" w:color="D8D2CC" w:sz="1"/>
            </w:tcBorders>
            <w:shd w:fill="FCEAE0" w:val="clear"/>
            <w:tcMar>
              <w:top w:type="dxa" w:w="70"/>
              <w:left w:type="dxa" w:w="120"/>
              <w:bottom w:type="dxa" w:w="70"/>
              <w:right w:type="dxa" w:w="120"/>
            </w:tcMar>
            <w:vAlign w:val="center"/>
          </w:tcPr>
          <w:p>
            <w:pPr>
              <w:spacing w:line="264"/>
            </w:pPr>
            <w:r>
              <w:rPr>
                <w:b/>
                <w:bCs/>
                <w:sz w:val="20"/>
                <w:szCs w:val="20"/>
              </w:rPr>
              <w:t xml:space="preserve">Meaning</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Carrier</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insurer that holds the capital and ultimately bears the risk.</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MGU / MGA</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Managing General Underwriter / Agent — delegated to quote, price, and bind on a carrier's behalf within rules.</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Broker / agent</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Intermediary who helps the end business shop for and buy coverage.</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Insured</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business buying the policy.</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Premium</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The price of the policy — Supernova's revenue if the business buys.</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Bind</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To finalize a policy so coverage is in force.</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Underwriting</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Deciding whether to accept a risk and on what terms.</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Funnel / completion rate</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The multi-step quote form / the share of applicants who finish it.</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Drop-off</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Applicants who abandon the form at a given stage.</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FUS grade</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 fire-protection rating of the building; higher = worse. Grade 10 is an effective auto-decline here.</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Rule ID</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 coded underwriting rule that, when triggered, drives a rejection.</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Alert</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 risk flag (e.g., hazardous materials, heavy equipment) that is a hard stop in this data.</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$2M revenue cap</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Supernova's hard rule declining any business with annual revenue at or above $2M; the largest single rejection driver (82.9%), applied at completion.</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Eligibility gate</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 check that decides whether a business qualifies at all — here, the $2M revenue cut-off, which currently fires too late in the funnel.</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Google Place ID</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An identifier confirming the business resolved to a real, mapped location.</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Zombie quote</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 completed quote with no decision and no premium — finished but never priced (a lookup failure).</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GL (General Liability)</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Coverage for third-party injury/damage; split here into On-Premises and Products GL.</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EBI</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Equipment Breakdown Insurance — covers mechanical/electrical breakdown.</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Business Interruption</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Covers lost income while a business cannot operate after a covered loss.</w:t>
            </w:r>
          </w:p>
        </w:tc>
      </w:tr>
      <w:tr>
        <w:tc>
          <w:tcPr>
            <w:tcW w:type="dxa" w:w="260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NTILE / quartile</w:t>
            </w:r>
          </w:p>
        </w:tc>
        <w:tc>
          <w:tcPr>
            <w:tcW w:type="dxa" w:w="6760"/>
            <w:tcBorders>
              <w:top w:val="single" w:color="D8D2CC" w:sz="1"/>
              <w:left w:val="single" w:color="D8D2CC" w:sz="1"/>
              <w:bottom w:val="single" w:color="D8D2CC" w:sz="1"/>
              <w:right w:val="single" w:color="D8D2CC" w:sz="1"/>
            </w:tcBorders>
            <w:shd w:fill="F4F3F0" w:val="clear"/>
            <w:tcMar>
              <w:top w:type="dxa" w:w="70"/>
              <w:left w:type="dxa" w:w="120"/>
              <w:bottom w:type="dxa" w:w="70"/>
              <w:right w:type="dxa" w:w="120"/>
            </w:tcMar>
            <w:vAlign w:val="center"/>
          </w:tcPr>
          <w:p>
            <w:pPr>
              <w:spacing w:line="264"/>
            </w:pPr>
            <w:r>
              <w:rPr>
                <w:b w:val="false"/>
                <w:bCs w:val="false"/>
                <w:sz w:val="20"/>
                <w:szCs w:val="20"/>
              </w:rPr>
              <w:t xml:space="preserve">A function that splits ranked data into equal buckets (used for the top-10% and 80%-of-revenue cuts).</w:t>
            </w:r>
          </w:p>
        </w:tc>
      </w:tr>
      <w:tr>
        <w:tc>
          <w:tcPr>
            <w:tcW w:type="dxa" w:w="260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Correlation</w:t>
            </w:r>
          </w:p>
        </w:tc>
        <w:tc>
          <w:tcPr>
            <w:tcW w:type="dxa" w:w="6760"/>
            <w:tcBorders>
              <w:top w:val="single" w:color="D8D2CC" w:sz="1"/>
              <w:left w:val="single" w:color="D8D2CC" w:sz="1"/>
              <w:bottom w:val="single" w:color="D8D2CC" w:sz="1"/>
              <w:right w:val="single" w:color="D8D2CC" w:sz="1"/>
            </w:tcBorders>
            <w:tcMar>
              <w:top w:type="dxa" w:w="70"/>
              <w:left w:type="dxa" w:w="120"/>
              <w:bottom w:type="dxa" w:w="70"/>
              <w:right w:type="dxa" w:w="120"/>
            </w:tcMar>
            <w:vAlign w:val="center"/>
          </w:tcPr>
          <w:p>
            <w:pPr>
              <w:spacing w:line="264"/>
            </w:pPr>
            <w:r>
              <w:rPr>
                <w:b w:val="false"/>
                <w:bCs w:val="false"/>
                <w:sz w:val="20"/>
                <w:szCs w:val="20"/>
              </w:rPr>
              <w:t xml:space="preserve">A measure (−1 to 1) of how two variables move together; ~0 means little relationship.</w:t>
            </w:r>
          </w:p>
        </w:tc>
      </w:tr>
    </w:tbl>
    <w:p>
      <w:pPr>
        <w:spacing w:after="80"/>
      </w:pPr>
      <w:r>
        <w:t xml:space="preserve"/>
      </w:r>
    </w:p>
    <w:p>
      <w:pPr>
        <w:spacing w:after="130" w:line="278"/>
      </w:pPr>
      <w:r>
        <w:rPr>
          <w:b/>
          <w:bCs/>
        </w:rPr>
        <w:t xml:space="preserve">End of guide. </w:t>
      </w:r>
      <w:r>
        <w:rPr>
          <w:i/>
          <w:iCs/>
          <w:color w:val="6B5B52"/>
        </w:rPr>
        <w:t xml:space="preserve">You now have the context, the data, all three topics, the story, the slides, the math, the caveats, and the likely questions — enough to speak to any part of this work with confidence.</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8F86"/>
        <w:sz w:val="16"/>
        <w:szCs w:val="16"/>
      </w:rPr>
      <w:t xml:space="preserve"/>
    </w:r>
    <w:r>
      <w:rPr>
        <w:color w:val="9A8F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C" w:sz="4" w:space="4"/>
      </w:pBdr>
      <w:jc w:val="right"/>
    </w:pPr>
    <w:r>
      <w:rPr>
        <w:color w:val="9A8F86"/>
        <w:sz w:val="16"/>
        <w:szCs w:val="16"/>
      </w:rPr>
      <w:t xml:space="preserve">The Revenue Question  ·  Supernova Externship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280"/>
      <w:outlineLvl w:val="0"/>
    </w:pPr>
    <w:rPr>
      <w:rFonts w:ascii="Arial" w:cs="Arial" w:eastAsia="Arial" w:hAnsi="Arial"/>
      <w:b/>
      <w:bCs/>
      <w:color w:val="BF5B2D"/>
      <w:sz w:val="30"/>
      <w:szCs w:val="30"/>
    </w:rPr>
  </w:style>
  <w:style w:type="paragraph" w:styleId="Heading2">
    <w:name w:val="Heading 2"/>
    <w:basedOn w:val="Normal"/>
    <w:next w:val="Normal"/>
    <w:qFormat/>
    <w:pPr>
      <w:keepNext/>
      <w:spacing w:after="90" w:before="200"/>
      <w:outlineLvl w:val="1"/>
    </w:pPr>
    <w:rPr>
      <w:rFonts w:ascii="Arial" w:cs="Arial" w:eastAsia="Arial" w:hAnsi="Arial"/>
      <w:b/>
      <w:bCs/>
      <w:color w:val="1A1A1A"/>
      <w:sz w:val="24"/>
      <w:szCs w:val="24"/>
    </w:rPr>
  </w:style>
  <w:style w:type="paragraph" w:styleId="Heading3">
    <w:name w:val="Heading 3"/>
    <w:basedOn w:val="Normal"/>
    <w:next w:val="Normal"/>
    <w:qFormat/>
    <w:pPr>
      <w:keepNext/>
      <w:spacing w:after="70" w:before="140"/>
      <w:outlineLvl w:val="2"/>
    </w:pPr>
    <w:rPr>
      <w:rFonts w:ascii="Arial" w:cs="Arial" w:eastAsia="Arial" w:hAnsi="Arial"/>
      <w:b/>
      <w:bCs/>
      <w:color w:val="4A3F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Revenue Question — Supernova Externship Study Guide</dc:title>
  <dc:creator>Claude</dc:creator>
  <cp:lastModifiedBy>Un-named</cp:lastModifiedBy>
  <cp:revision>1</cp:revision>
  <dcterms:created xsi:type="dcterms:W3CDTF">2026-06-16T17:15:00.841Z</dcterms:created>
  <dcterms:modified xsi:type="dcterms:W3CDTF">2026-06-16T17:15:00.854Z</dcterms:modified>
</cp:coreProperties>
</file>

<file path=docProps/custom.xml><?xml version="1.0" encoding="utf-8"?>
<Properties xmlns="http://schemas.openxmlformats.org/officeDocument/2006/custom-properties" xmlns:vt="http://schemas.openxmlformats.org/officeDocument/2006/docPropsVTypes"/>
</file>